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a6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 xml:space="preserve">and Israeli </w:t>
      </w:r>
      <w:proofErr w:type="gramStart"/>
      <w:r w:rsidR="00806A06" w:rsidRPr="00806A06">
        <w:rPr>
          <w:rFonts w:ascii="Tahoma" w:hAnsi="Tahoma" w:cs="Tahoma"/>
          <w:b/>
          <w:iCs/>
          <w:szCs w:val="28"/>
        </w:rPr>
        <w:t>companies</w:t>
      </w:r>
      <w:proofErr w:type="gramEnd"/>
    </w:p>
    <w:p w14:paraId="0D3AC23D" w14:textId="0DC4D9B7" w:rsidR="00067BED" w:rsidRPr="000C778D" w:rsidRDefault="00376787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rtl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-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</w:t>
      </w:r>
      <w:r w:rsidR="00B11ABE" w:rsidRPr="00B11ABE">
        <w:rPr>
          <w:rFonts w:ascii="Tahoma" w:hAnsi="Tahoma" w:cs="Tahoma"/>
          <w:b/>
          <w:bCs/>
          <w:i/>
          <w:iCs/>
          <w:color w:val="C00000"/>
          <w:sz w:val="32"/>
          <w:szCs w:val="32"/>
          <w:lang w:bidi="he-IL"/>
        </w:rPr>
        <w:t>4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47DB813A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915C8C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  <w:lang w:val="en-US"/>
          <w:rPrChange w:id="1" w:author="Tal Ben Avner" w:date="2024-03-28T10:31:00Z">
            <w:rPr>
              <w:rFonts w:asciiTheme="minorHAnsi" w:hAnsiTheme="minorHAnsi" w:cs="Segoe UI"/>
              <w:sz w:val="18"/>
              <w:szCs w:val="18"/>
            </w:rPr>
          </w:rPrChange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lastRenderedPageBreak/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312C70E" w14:textId="4D216555" w:rsidR="000034C5" w:rsidRPr="00915C8C" w:rsidRDefault="000034C5" w:rsidP="00915C8C">
      <w:pPr>
        <w:pStyle w:val="a9"/>
        <w:numPr>
          <w:ilvl w:val="0"/>
          <w:numId w:val="28"/>
        </w:numPr>
        <w:spacing w:after="120"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A self-funding project isn’t eligible to apply for this </w:t>
      </w:r>
      <w:r w:rsidR="00392388">
        <w:rPr>
          <w:rFonts w:asciiTheme="minorHAnsi" w:hAnsiTheme="minorHAnsi" w:cs="Segoe UI"/>
          <w:sz w:val="22"/>
          <w:szCs w:val="22"/>
          <w:lang w:val="en-GB" w:eastAsia="ja-JP"/>
        </w:rPr>
        <w:t xml:space="preserve">joint </w:t>
      </w: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program. 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rtl/>
          <w:lang w:val="en-GB" w:bidi="he-IL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a9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a9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32540EC8" w:rsidR="003A28B9" w:rsidRDefault="00000000" w:rsidP="00367F1F">
      <w:pPr>
        <w:pStyle w:val="a9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7F6201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https://aiip.tdp.org.tw/Page?mid=87&amp;itemid=11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a9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</w:p>
    <w:p w14:paraId="5F016431" w14:textId="77777777" w:rsidR="00EF3F1B" w:rsidRPr="00F35012" w:rsidRDefault="00926535" w:rsidP="0000690E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signed by Taiwan and Israeli partners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2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3" w:name="_Hlt396210627"/>
        <w:bookmarkStart w:id="4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3"/>
        <w:bookmarkEnd w:id="4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2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aa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930C35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930C35" w:rsidRPr="007D5CB1" w:rsidRDefault="00930C35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3868B7B5" w:rsidR="00930C35" w:rsidRPr="009C37B1" w:rsidRDefault="0037678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May 21</w:t>
            </w:r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2024</w:t>
            </w:r>
          </w:p>
        </w:tc>
      </w:tr>
      <w:tr w:rsidR="00930C35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387892EF" w:rsidR="00930C35" w:rsidRPr="009C37B1" w:rsidRDefault="0037678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October 30</w:t>
            </w:r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, </w:t>
            </w:r>
            <w:proofErr w:type="gramStart"/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2024</w:t>
            </w:r>
            <w:proofErr w:type="gramEnd"/>
            <w:r w:rsidR="00930C35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</w:p>
        </w:tc>
      </w:tr>
      <w:tr w:rsidR="00930C35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E352CEB" w:rsidR="00930C35" w:rsidRPr="00A54BA0" w:rsidRDefault="00930C35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="00376787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January 2025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rtl/>
          <w:lang w:eastAsia="zh-TW" w:bidi="he-IL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013A11B0" w14:textId="0E532FDC" w:rsidR="008C29B0" w:rsidRPr="008A57FE" w:rsidRDefault="00362CA8" w:rsidP="00915C8C">
      <w:pPr>
        <w:shd w:val="clear" w:color="auto" w:fill="DBE5F1" w:themeFill="accent1" w:themeFillTint="33"/>
        <w:suppressAutoHyphens/>
        <w:spacing w:line="276" w:lineRule="auto"/>
        <w:rPr>
          <w:rFonts w:ascii="Segoe UI" w:eastAsia="PMingLiU" w:hAnsi="Segoe UI" w:cs="Segoe UI"/>
          <w:sz w:val="14"/>
          <w:szCs w:val="14"/>
          <w:lang w:eastAsia="zh-TW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</w:p>
    <w:p w14:paraId="2BC53ED7" w14:textId="0D28D526" w:rsidR="00F9186B" w:rsidRPr="008A57FE" w:rsidRDefault="003B3A0B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Email: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a8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3" w:history="1">
                        <w:r w:rsidR="008A57FE" w:rsidRPr="003B3A0B">
                          <w:rPr>
                            <w:rStyle w:val="a8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Email: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a9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7DB499D2">
                <wp:extent cx="2348651" cy="1952319"/>
                <wp:effectExtent l="57150" t="38100" r="71120" b="8636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651" cy="19523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4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a8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0CA1972E" id="Text Box 19" o:spid="_x0000_s1027" type="#_x0000_t202" style="width:184.9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5" w:history="1">
                        <w:r w:rsidRPr="008A57FE">
                          <w:rPr>
                            <w:rStyle w:val="a8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af3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a9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A57FE" w:rsidSect="00C84B4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7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BE14" w14:textId="77777777" w:rsidR="00C84B42" w:rsidRDefault="00C84B42">
      <w:r>
        <w:separator/>
      </w:r>
    </w:p>
  </w:endnote>
  <w:endnote w:type="continuationSeparator" w:id="0">
    <w:p w14:paraId="5E518975" w14:textId="77777777" w:rsidR="00C84B42" w:rsidRDefault="00C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83795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1D3A743" w:rsidR="00744908" w:rsidRDefault="00F05CF9">
    <w:pPr>
      <w:pStyle w:val="a3"/>
    </w:pP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6CABFF91">
          <wp:simplePos x="0" y="0"/>
          <wp:positionH relativeFrom="column">
            <wp:posOffset>-391160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D92">
      <w:rPr>
        <w:noProof/>
      </w:rPr>
      <w:drawing>
        <wp:anchor distT="0" distB="0" distL="114300" distR="114300" simplePos="0" relativeHeight="251663360" behindDoc="0" locked="0" layoutInCell="1" allowOverlap="1" wp14:anchorId="63DFEF1F" wp14:editId="25504CD9">
          <wp:simplePos x="0" y="0"/>
          <wp:positionH relativeFrom="margin">
            <wp:posOffset>4066540</wp:posOffset>
          </wp:positionH>
          <wp:positionV relativeFrom="paragraph">
            <wp:posOffset>236855</wp:posOffset>
          </wp:positionV>
          <wp:extent cx="2132965" cy="466090"/>
          <wp:effectExtent l="0" t="0" r="635" b="0"/>
          <wp:wrapTopAndBottom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4384" behindDoc="0" locked="0" layoutInCell="1" allowOverlap="1" wp14:anchorId="7ED583DB" wp14:editId="62955B21">
          <wp:simplePos x="0" y="0"/>
          <wp:positionH relativeFrom="column">
            <wp:posOffset>1913890</wp:posOffset>
          </wp:positionH>
          <wp:positionV relativeFrom="paragraph">
            <wp:posOffset>294005</wp:posOffset>
          </wp:positionV>
          <wp:extent cx="1809115" cy="419100"/>
          <wp:effectExtent l="0" t="0" r="635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ri_CEL_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DCA1" w14:textId="77777777" w:rsidR="00C84B42" w:rsidRDefault="00C84B42">
      <w:r>
        <w:separator/>
      </w:r>
    </w:p>
  </w:footnote>
  <w:footnote w:type="continuationSeparator" w:id="0">
    <w:p w14:paraId="07143461" w14:textId="77777777" w:rsidR="00C84B42" w:rsidRDefault="00C8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a6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101E144" id="Rectangle 14" o:spid="_x0000_s1026" alt="&quot;&quot;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 filled="f" strokecolor="#243f60 [160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124E"/>
    <w:multiLevelType w:val="hybridMultilevel"/>
    <w:tmpl w:val="C2EC5630"/>
    <w:lvl w:ilvl="0" w:tplc="8E607F22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3019716E"/>
    <w:multiLevelType w:val="hybridMultilevel"/>
    <w:tmpl w:val="D4D21060"/>
    <w:lvl w:ilvl="0" w:tplc="C96825F0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4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88576">
    <w:abstractNumId w:val="13"/>
  </w:num>
  <w:num w:numId="2" w16cid:durableId="657198540">
    <w:abstractNumId w:val="3"/>
  </w:num>
  <w:num w:numId="3" w16cid:durableId="894123565">
    <w:abstractNumId w:val="10"/>
  </w:num>
  <w:num w:numId="4" w16cid:durableId="1991592940">
    <w:abstractNumId w:val="6"/>
  </w:num>
  <w:num w:numId="5" w16cid:durableId="1416829338">
    <w:abstractNumId w:val="11"/>
  </w:num>
  <w:num w:numId="6" w16cid:durableId="1497065820">
    <w:abstractNumId w:val="0"/>
  </w:num>
  <w:num w:numId="7" w16cid:durableId="636691415">
    <w:abstractNumId w:val="12"/>
  </w:num>
  <w:num w:numId="8" w16cid:durableId="1725787686">
    <w:abstractNumId w:val="21"/>
  </w:num>
  <w:num w:numId="9" w16cid:durableId="550848829">
    <w:abstractNumId w:val="20"/>
  </w:num>
  <w:num w:numId="10" w16cid:durableId="1483934626">
    <w:abstractNumId w:val="9"/>
  </w:num>
  <w:num w:numId="11" w16cid:durableId="743186339">
    <w:abstractNumId w:val="14"/>
  </w:num>
  <w:num w:numId="12" w16cid:durableId="121576616">
    <w:abstractNumId w:val="5"/>
  </w:num>
  <w:num w:numId="13" w16cid:durableId="709577331">
    <w:abstractNumId w:val="23"/>
  </w:num>
  <w:num w:numId="14" w16cid:durableId="1179664508">
    <w:abstractNumId w:val="26"/>
  </w:num>
  <w:num w:numId="15" w16cid:durableId="1020467564">
    <w:abstractNumId w:val="4"/>
  </w:num>
  <w:num w:numId="16" w16cid:durableId="1050039041">
    <w:abstractNumId w:val="18"/>
  </w:num>
  <w:num w:numId="17" w16cid:durableId="1030569618">
    <w:abstractNumId w:val="22"/>
  </w:num>
  <w:num w:numId="18" w16cid:durableId="17316493">
    <w:abstractNumId w:val="27"/>
  </w:num>
  <w:num w:numId="19" w16cid:durableId="2093505614">
    <w:abstractNumId w:val="1"/>
  </w:num>
  <w:num w:numId="20" w16cid:durableId="327294049">
    <w:abstractNumId w:val="25"/>
  </w:num>
  <w:num w:numId="21" w16cid:durableId="1518541265">
    <w:abstractNumId w:val="16"/>
  </w:num>
  <w:num w:numId="22" w16cid:durableId="893395982">
    <w:abstractNumId w:val="15"/>
  </w:num>
  <w:num w:numId="23" w16cid:durableId="1017275705">
    <w:abstractNumId w:val="17"/>
  </w:num>
  <w:num w:numId="24" w16cid:durableId="1729767736">
    <w:abstractNumId w:val="7"/>
  </w:num>
  <w:num w:numId="25" w16cid:durableId="2085953510">
    <w:abstractNumId w:val="24"/>
  </w:num>
  <w:num w:numId="26" w16cid:durableId="1516460894">
    <w:abstractNumId w:val="19"/>
  </w:num>
  <w:num w:numId="27" w16cid:durableId="1478650118">
    <w:abstractNumId w:val="8"/>
  </w:num>
  <w:num w:numId="28" w16cid:durableId="1770274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l Ben Avner">
    <w15:presenceInfo w15:providerId="AD" w15:userId="S::Tal.BA@innovationisrael.org.il::6d56adf7-99ba-458b-b9d7-e2bec733b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4C5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787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388"/>
    <w:rsid w:val="00392B3F"/>
    <w:rsid w:val="00392C5D"/>
    <w:rsid w:val="00392DF8"/>
    <w:rsid w:val="00394CD6"/>
    <w:rsid w:val="003953C5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1993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4D92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798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8BB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738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201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5C8C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322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1383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1ABE"/>
    <w:rsid w:val="00B12152"/>
    <w:rsid w:val="00B12241"/>
    <w:rsid w:val="00B169F5"/>
    <w:rsid w:val="00B16C9F"/>
    <w:rsid w:val="00B16FFA"/>
    <w:rsid w:val="00B17F95"/>
    <w:rsid w:val="00B21C5F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4B42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65E3A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CF9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4F5523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87&amp;itemid=1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XiaoHu@itri.org.tw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7269-282D-430C-BE71-9F23E37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Yael Koresh</cp:lastModifiedBy>
  <cp:revision>2</cp:revision>
  <dcterms:created xsi:type="dcterms:W3CDTF">2024-04-15T10:15:00Z</dcterms:created>
  <dcterms:modified xsi:type="dcterms:W3CDTF">2024-04-15T10:15:00Z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