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6AE3" w14:textId="77777777" w:rsidR="008062CA" w:rsidRPr="00A6302B" w:rsidRDefault="007F214E" w:rsidP="00A6302B">
      <w:pPr>
        <w:pStyle w:val="Heading1"/>
        <w:jc w:val="center"/>
      </w:pPr>
      <w:r w:rsidRPr="00A6302B">
        <w:t>Terms of Reference</w:t>
      </w:r>
    </w:p>
    <w:p w14:paraId="780C74FB" w14:textId="77777777" w:rsidR="008062CA" w:rsidRPr="00A6302B" w:rsidRDefault="007F214E" w:rsidP="00A6302B">
      <w:pPr>
        <w:pStyle w:val="Heading1"/>
        <w:jc w:val="center"/>
      </w:pPr>
      <w:r w:rsidRPr="00A6302B">
        <w:t>For Czech-Israeli Bilateral Co-funding R&amp;D Projects</w:t>
      </w:r>
    </w:p>
    <w:p w14:paraId="10F0BE51" w14:textId="77777777" w:rsidR="008062CA" w:rsidRDefault="007F214E">
      <w:pPr>
        <w:spacing w:before="0" w:line="312" w:lineRule="auto"/>
        <w:jc w:val="center"/>
        <w:rPr>
          <w:rFonts w:ascii="Cambria" w:eastAsia="Cambria" w:hAnsi="Cambria" w:cs="Cambria"/>
          <w:b/>
          <w:sz w:val="24"/>
          <w:szCs w:val="24"/>
        </w:rPr>
      </w:pPr>
      <w:r>
        <w:rPr>
          <w:rFonts w:ascii="Cambria" w:eastAsia="Cambria" w:hAnsi="Cambria" w:cs="Cambria"/>
          <w:b/>
          <w:sz w:val="24"/>
          <w:szCs w:val="24"/>
        </w:rPr>
        <w:t xml:space="preserve"> </w:t>
      </w:r>
    </w:p>
    <w:p w14:paraId="7EC1EA16" w14:textId="77777777" w:rsidR="008062CA" w:rsidRPr="00A6302B" w:rsidRDefault="007F214E" w:rsidP="00A6302B">
      <w:pPr>
        <w:pStyle w:val="Heading2"/>
      </w:pPr>
      <w:bookmarkStart w:id="0" w:name="_heading=h.gjdgxs" w:colFirst="0" w:colLast="0"/>
      <w:bookmarkEnd w:id="0"/>
      <w:r w:rsidRPr="00A6302B">
        <w:t>1.        Scope</w:t>
      </w:r>
    </w:p>
    <w:p w14:paraId="703E44D3"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Call for Proposals for Joint R&amp;D Projects between the Technology Agency of the Czech Republic (TA CR) and the Israel Innovation Authority (IIA) in Israel, is hereby announced. Joint R&amp;D projects will be focused on specific outcomes in the field of applied research, i.e. they will lead to attaining new findings and skills for development of new or significantly improved products, processes or services, and new product, process or service.</w:t>
      </w:r>
    </w:p>
    <w:p w14:paraId="1FE35627"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Beneficiaries are expected to develop applied results.  </w:t>
      </w:r>
    </w:p>
    <w:p w14:paraId="6F6CE79D" w14:textId="77777777" w:rsidR="008062CA" w:rsidRDefault="008062CA">
      <w:pPr>
        <w:spacing w:before="0" w:line="312" w:lineRule="auto"/>
        <w:ind w:left="1417" w:hanging="990"/>
        <w:rPr>
          <w:rFonts w:ascii="Cambria" w:eastAsia="Cambria" w:hAnsi="Cambria" w:cs="Cambria"/>
          <w:i/>
          <w:sz w:val="24"/>
          <w:szCs w:val="24"/>
        </w:rPr>
      </w:pPr>
    </w:p>
    <w:p w14:paraId="3FFE5CE2" w14:textId="77777777" w:rsidR="008062CA" w:rsidRDefault="007F214E">
      <w:pPr>
        <w:spacing w:before="0" w:line="312" w:lineRule="auto"/>
        <w:ind w:left="1417" w:hanging="990"/>
        <w:jc w:val="both"/>
        <w:rPr>
          <w:rFonts w:ascii="Cambria" w:eastAsia="Cambria" w:hAnsi="Cambria" w:cs="Cambria"/>
          <w:i/>
          <w:sz w:val="24"/>
          <w:szCs w:val="24"/>
        </w:rPr>
      </w:pPr>
      <w:r>
        <w:rPr>
          <w:rFonts w:ascii="Cambria" w:eastAsia="Cambria" w:hAnsi="Cambria" w:cs="Cambria"/>
          <w:i/>
          <w:sz w:val="24"/>
          <w:szCs w:val="24"/>
        </w:rPr>
        <w:t xml:space="preserve">NOTE:  This Joint Call for Proposals, written in the English language, serves to provide </w:t>
      </w:r>
    </w:p>
    <w:p w14:paraId="1C3E24D8" w14:textId="77777777" w:rsidR="008062CA" w:rsidRDefault="007F214E">
      <w:pPr>
        <w:spacing w:before="0" w:line="312" w:lineRule="auto"/>
        <w:ind w:left="425"/>
        <w:jc w:val="both"/>
        <w:rPr>
          <w:rFonts w:ascii="Cambria" w:eastAsia="Cambria" w:hAnsi="Cambria" w:cs="Cambria"/>
          <w:i/>
          <w:sz w:val="24"/>
          <w:szCs w:val="24"/>
        </w:rPr>
      </w:pPr>
      <w:r>
        <w:rPr>
          <w:rFonts w:ascii="Cambria" w:eastAsia="Cambria" w:hAnsi="Cambria" w:cs="Cambria"/>
          <w:i/>
          <w:sz w:val="24"/>
          <w:szCs w:val="24"/>
        </w:rPr>
        <w:t>the common understanding of the program structure and to brief the requirements in general terms. Participants are subject to additional rules and regulations.</w:t>
      </w:r>
    </w:p>
    <w:p w14:paraId="171824AC" w14:textId="77777777" w:rsidR="008062CA" w:rsidRDefault="007F214E">
      <w:pPr>
        <w:spacing w:before="0" w:line="312" w:lineRule="auto"/>
        <w:ind w:left="425" w:firstLine="708"/>
        <w:jc w:val="both"/>
        <w:rPr>
          <w:rFonts w:ascii="Cambria" w:eastAsia="Cambria" w:hAnsi="Cambria" w:cs="Cambria"/>
          <w:i/>
          <w:sz w:val="24"/>
          <w:szCs w:val="24"/>
        </w:rPr>
      </w:pPr>
      <w:r>
        <w:rPr>
          <w:rFonts w:ascii="Cambria" w:eastAsia="Cambria" w:hAnsi="Cambria" w:cs="Cambria"/>
          <w:i/>
          <w:sz w:val="24"/>
          <w:szCs w:val="24"/>
        </w:rPr>
        <w:t>Lead Organizations (Principal Applicants) on both sides, Czech and Israeli, have the responsibility to understand the respective national laws, rules and regulations, and abide accordingly.</w:t>
      </w:r>
    </w:p>
    <w:p w14:paraId="1443A8CA" w14:textId="77777777" w:rsidR="008062CA" w:rsidRDefault="008062CA">
      <w:pPr>
        <w:spacing w:before="0" w:line="312" w:lineRule="auto"/>
        <w:ind w:left="1440"/>
        <w:rPr>
          <w:rFonts w:ascii="Cambria" w:eastAsia="Cambria" w:hAnsi="Cambria" w:cs="Cambria"/>
          <w:i/>
          <w:sz w:val="24"/>
          <w:szCs w:val="24"/>
        </w:rPr>
      </w:pPr>
    </w:p>
    <w:p w14:paraId="02AEF9BF" w14:textId="77777777" w:rsidR="008062CA" w:rsidRPr="00A6302B" w:rsidRDefault="007F214E" w:rsidP="00A6302B">
      <w:pPr>
        <w:pStyle w:val="Heading2"/>
      </w:pPr>
      <w:bookmarkStart w:id="1" w:name="_heading=h.30j0zll" w:colFirst="0" w:colLast="0"/>
      <w:bookmarkEnd w:id="1"/>
      <w:r w:rsidRPr="00A6302B">
        <w:t>2.        Programme Structure</w:t>
      </w:r>
    </w:p>
    <w:p w14:paraId="0DAFB5E2"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The TA CR follows the following conceptions of applied research, experimental development and innovations</w:t>
      </w:r>
      <w:r>
        <w:rPr>
          <w:rFonts w:ascii="Cambria" w:eastAsia="Cambria" w:hAnsi="Cambria" w:cs="Cambria"/>
          <w:sz w:val="24"/>
          <w:szCs w:val="24"/>
          <w:vertAlign w:val="superscript"/>
        </w:rPr>
        <w:footnoteReference w:id="1"/>
      </w:r>
      <w:r>
        <w:rPr>
          <w:rFonts w:ascii="Cambria" w:eastAsia="Cambria" w:hAnsi="Cambria" w:cs="Cambria"/>
          <w:sz w:val="24"/>
          <w:szCs w:val="24"/>
        </w:rPr>
        <w:t>. The Research and Development activity must contain the following features:</w:t>
      </w:r>
    </w:p>
    <w:p w14:paraId="28E15A00"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novelty</w:t>
      </w:r>
    </w:p>
    <w:p w14:paraId="684673A3"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creativity</w:t>
      </w:r>
    </w:p>
    <w:p w14:paraId="71CF128C" w14:textId="77777777" w:rsidR="008062CA" w:rsidRDefault="008062CA">
      <w:pPr>
        <w:spacing w:before="0" w:line="312" w:lineRule="auto"/>
        <w:rPr>
          <w:rFonts w:ascii="Cambria" w:eastAsia="Cambria" w:hAnsi="Cambria" w:cs="Cambria"/>
          <w:sz w:val="24"/>
          <w:szCs w:val="24"/>
        </w:rPr>
      </w:pPr>
    </w:p>
    <w:p w14:paraId="30077900"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uncertainty</w:t>
      </w:r>
    </w:p>
    <w:p w14:paraId="29B9BD75"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lastRenderedPageBreak/>
        <w:t>systematic nature</w:t>
      </w:r>
    </w:p>
    <w:p w14:paraId="55A5FDC8" w14:textId="77777777" w:rsidR="008062CA" w:rsidRDefault="007F214E">
      <w:pPr>
        <w:numPr>
          <w:ilvl w:val="0"/>
          <w:numId w:val="7"/>
        </w:numPr>
        <w:spacing w:before="0" w:line="312" w:lineRule="auto"/>
        <w:rPr>
          <w:rFonts w:ascii="Cambria" w:eastAsia="Cambria" w:hAnsi="Cambria" w:cs="Cambria"/>
          <w:sz w:val="24"/>
          <w:szCs w:val="24"/>
        </w:rPr>
      </w:pPr>
      <w:r>
        <w:rPr>
          <w:rFonts w:ascii="Cambria" w:eastAsia="Cambria" w:hAnsi="Cambria" w:cs="Cambria"/>
          <w:sz w:val="24"/>
          <w:szCs w:val="24"/>
        </w:rPr>
        <w:t>transferability and/or reproducibility</w:t>
      </w:r>
    </w:p>
    <w:p w14:paraId="5C05B80C" w14:textId="77777777" w:rsidR="008062CA" w:rsidRDefault="008062CA">
      <w:pPr>
        <w:spacing w:before="0" w:line="312" w:lineRule="auto"/>
        <w:rPr>
          <w:rFonts w:ascii="Cambria" w:eastAsia="Cambria" w:hAnsi="Cambria" w:cs="Cambria"/>
          <w:sz w:val="24"/>
          <w:szCs w:val="24"/>
        </w:rPr>
      </w:pPr>
    </w:p>
    <w:p w14:paraId="62728EC1"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project should have an obvious advantage and added value resulting from the cooperation between the participants from the respective countries (e.g. increased knowledge base, commercial needs, access to R&amp;D infrastructure, new fields of application, etc.).</w:t>
      </w:r>
    </w:p>
    <w:p w14:paraId="5FDB7F9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Any partner whose cooperative R&amp;D project is compliant with the aforesaid criteria may apply to the present open call announcement in accordance with the national laws, rules, regulations and procedures in effect.</w:t>
      </w:r>
    </w:p>
    <w:p w14:paraId="02BBB3C2"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programme invites technology related organizations from both countries to participate in joint R&amp;D projects. Please refer to Section 2.2 Applicant Eligibility for more information. Joint R&amp;D Project Proposals shall be submitted according to the following procedures.</w:t>
      </w:r>
    </w:p>
    <w:p w14:paraId="75EBC768" w14:textId="77777777" w:rsidR="008062CA" w:rsidRDefault="007F214E" w:rsidP="00A6302B">
      <w:pPr>
        <w:pStyle w:val="Heading2"/>
        <w:rPr>
          <w:rFonts w:ascii="Arial" w:eastAsia="Arial" w:hAnsi="Arial" w:cs="Arial"/>
          <w:color w:val="434343"/>
          <w:sz w:val="28"/>
          <w:szCs w:val="28"/>
        </w:rPr>
      </w:pPr>
      <w:bookmarkStart w:id="2" w:name="_heading=h.bn5ew0hvelmu" w:colFirst="0" w:colLast="0"/>
      <w:bookmarkEnd w:id="2"/>
      <w:r>
        <w:t>2.1 Areas of R&amp;D Projects</w:t>
      </w:r>
    </w:p>
    <w:p w14:paraId="714DC7E2"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Project proposals in all areas of application are mutually accepted. </w:t>
      </w:r>
    </w:p>
    <w:p w14:paraId="4FFA179F" w14:textId="77777777" w:rsidR="008062CA" w:rsidRDefault="008062CA">
      <w:pPr>
        <w:spacing w:before="0" w:line="312" w:lineRule="auto"/>
        <w:jc w:val="both"/>
        <w:rPr>
          <w:rFonts w:ascii="Cambria" w:eastAsia="Cambria" w:hAnsi="Cambria" w:cs="Cambria"/>
          <w:sz w:val="24"/>
          <w:szCs w:val="24"/>
        </w:rPr>
      </w:pPr>
    </w:p>
    <w:p w14:paraId="4869059A"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TA CR cannot support solely defence projects and medical research projects with </w:t>
      </w:r>
    </w:p>
    <w:p w14:paraId="0008D2C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a predominance of clinical studies activities, as these areas are being supported by different funding institutions in the Czech Republic. </w:t>
      </w:r>
    </w:p>
    <w:p w14:paraId="6D8B7429" w14:textId="77777777" w:rsidR="008062CA" w:rsidRDefault="007F214E">
      <w:pPr>
        <w:spacing w:before="0" w:line="312" w:lineRule="auto"/>
        <w:jc w:val="both"/>
        <w:rPr>
          <w:rFonts w:ascii="Cambria" w:eastAsia="Cambria" w:hAnsi="Cambria" w:cs="Cambria"/>
        </w:rPr>
      </w:pPr>
      <w:r>
        <w:rPr>
          <w:rFonts w:ascii="Cambria" w:eastAsia="Cambria" w:hAnsi="Cambria" w:cs="Cambria"/>
        </w:rPr>
        <w:t xml:space="preserve"> </w:t>
      </w:r>
    </w:p>
    <w:p w14:paraId="19F42E80" w14:textId="77777777" w:rsidR="008062CA" w:rsidRDefault="007F214E" w:rsidP="00A6302B">
      <w:pPr>
        <w:pStyle w:val="Heading2"/>
      </w:pPr>
      <w:r>
        <w:t xml:space="preserve"> 2.2 Applicant Eligibility</w:t>
      </w:r>
    </w:p>
    <w:p w14:paraId="47A8B17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Applicants shall take the form of consortiums consisting of R&amp;D participants based in the Czech Republic making up one side of the partnership, and R&amp;D participants based in Israel making up the other side of the partnership. </w:t>
      </w:r>
    </w:p>
    <w:p w14:paraId="2DAC7786" w14:textId="77777777" w:rsidR="008062CA" w:rsidRDefault="008062CA">
      <w:pPr>
        <w:spacing w:before="0" w:line="312" w:lineRule="auto"/>
        <w:rPr>
          <w:rFonts w:ascii="Cambria" w:eastAsia="Cambria" w:hAnsi="Cambria" w:cs="Cambria"/>
          <w:sz w:val="24"/>
          <w:szCs w:val="24"/>
        </w:rPr>
      </w:pPr>
    </w:p>
    <w:p w14:paraId="4C7214FD"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Czech</w:t>
      </w:r>
    </w:p>
    <w:p w14:paraId="4F9C086C"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company, regardless the size, must be the lead organization on the Czech side. Universities or research organizations may apply for the DELTA 2 programme funding only provided that the consortium constitutes at least one Czech company.</w:t>
      </w:r>
      <w:r>
        <w:rPr>
          <w:rFonts w:ascii="Cambria" w:eastAsia="Cambria" w:hAnsi="Cambria" w:cs="Cambria"/>
          <w:sz w:val="24"/>
          <w:szCs w:val="24"/>
          <w:vertAlign w:val="superscript"/>
        </w:rPr>
        <w:t xml:space="preserve">     </w:t>
      </w:r>
    </w:p>
    <w:p w14:paraId="2FFC0142" w14:textId="77777777" w:rsidR="008062CA" w:rsidRDefault="008062CA">
      <w:pPr>
        <w:spacing w:before="0" w:line="312" w:lineRule="auto"/>
        <w:jc w:val="both"/>
        <w:rPr>
          <w:rFonts w:ascii="Cambria" w:eastAsia="Cambria" w:hAnsi="Cambria" w:cs="Cambria"/>
          <w:sz w:val="24"/>
          <w:szCs w:val="24"/>
        </w:rPr>
      </w:pPr>
    </w:p>
    <w:p w14:paraId="71C91BA3" w14:textId="77777777" w:rsidR="008062CA" w:rsidRDefault="008062CA">
      <w:pPr>
        <w:spacing w:before="0" w:line="312" w:lineRule="auto"/>
        <w:jc w:val="both"/>
        <w:rPr>
          <w:rFonts w:ascii="Cambria" w:eastAsia="Cambria" w:hAnsi="Cambria" w:cs="Cambria"/>
          <w:sz w:val="24"/>
          <w:szCs w:val="24"/>
        </w:rPr>
      </w:pPr>
    </w:p>
    <w:p w14:paraId="4B36342D" w14:textId="77777777" w:rsidR="008062CA" w:rsidRDefault="008062CA">
      <w:pPr>
        <w:spacing w:before="0" w:line="312" w:lineRule="auto"/>
        <w:jc w:val="both"/>
        <w:rPr>
          <w:rFonts w:ascii="Cambria" w:eastAsia="Cambria" w:hAnsi="Cambria" w:cs="Cambria"/>
          <w:sz w:val="24"/>
          <w:szCs w:val="24"/>
        </w:rPr>
      </w:pPr>
    </w:p>
    <w:p w14:paraId="797C74D7"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lastRenderedPageBreak/>
        <w:t>The linked and partner enterprises</w:t>
      </w:r>
      <w:r>
        <w:rPr>
          <w:rFonts w:ascii="Cambria" w:eastAsia="Cambria" w:hAnsi="Cambria" w:cs="Cambria"/>
          <w:sz w:val="24"/>
          <w:szCs w:val="24"/>
          <w:vertAlign w:val="superscript"/>
        </w:rPr>
        <w:footnoteReference w:id="2"/>
      </w:r>
      <w:r>
        <w:rPr>
          <w:rFonts w:ascii="Cambria" w:eastAsia="Cambria" w:hAnsi="Cambria" w:cs="Cambria"/>
          <w:sz w:val="24"/>
          <w:szCs w:val="24"/>
        </w:rPr>
        <w:t xml:space="preserve"> are not allowed to participate.</w:t>
      </w:r>
    </w:p>
    <w:p w14:paraId="369B5BC9" w14:textId="77777777" w:rsidR="008062CA" w:rsidRDefault="008062CA">
      <w:pPr>
        <w:spacing w:before="0" w:line="312" w:lineRule="auto"/>
        <w:jc w:val="both"/>
        <w:rPr>
          <w:rFonts w:ascii="Cambria" w:eastAsia="Cambria" w:hAnsi="Cambria" w:cs="Cambria"/>
          <w:sz w:val="24"/>
          <w:szCs w:val="24"/>
        </w:rPr>
      </w:pPr>
    </w:p>
    <w:p w14:paraId="011CF548"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Israeli</w:t>
      </w:r>
    </w:p>
    <w:p w14:paraId="4EFA74AA"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company, regardless the size, must be the lead organization on the Israeli side.</w:t>
      </w:r>
    </w:p>
    <w:p w14:paraId="795A8FB9"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Research institutes/universities or other participants may apply as a subcontractor to </w:t>
      </w:r>
    </w:p>
    <w:p w14:paraId="22489C1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 company.</w:t>
      </w:r>
    </w:p>
    <w:p w14:paraId="56986615" w14:textId="77777777" w:rsidR="008062CA" w:rsidRDefault="007F214E">
      <w:pPr>
        <w:spacing w:before="0"/>
        <w:jc w:val="both"/>
        <w:rPr>
          <w:rFonts w:ascii="Cambria" w:eastAsia="Cambria" w:hAnsi="Cambria" w:cs="Cambria"/>
          <w:sz w:val="24"/>
          <w:szCs w:val="24"/>
        </w:rPr>
      </w:pPr>
      <w:r>
        <w:rPr>
          <w:rFonts w:ascii="Cambria" w:eastAsia="Cambria" w:hAnsi="Cambria" w:cs="Cambria"/>
          <w:sz w:val="24"/>
          <w:szCs w:val="24"/>
        </w:rPr>
        <w:t xml:space="preserve">The linked and partner enterprises are not allowed to participate. </w:t>
      </w:r>
    </w:p>
    <w:p w14:paraId="2F912406" w14:textId="77777777" w:rsidR="008062CA" w:rsidRDefault="008062CA">
      <w:pPr>
        <w:spacing w:before="0" w:line="312" w:lineRule="auto"/>
        <w:jc w:val="both"/>
        <w:rPr>
          <w:rFonts w:ascii="Cambria" w:eastAsia="Cambria" w:hAnsi="Cambria" w:cs="Cambria"/>
          <w:sz w:val="24"/>
          <w:szCs w:val="24"/>
        </w:rPr>
      </w:pPr>
    </w:p>
    <w:p w14:paraId="6E1FBF56"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All Czech and Israeli applicants are subjected to initial screening which examines the institution’s capability to carry out the project. Examination criteria include, but are not limited to, bankruptcy history, disposition for tax delinquency, default history of the head of the company, debt ratio, review of the recent financial statement in terms of capital erosion, etc. Failure in any of the criteria will disqualify the applicant and the respective proposal will not proceed to the next step of proposal evaluation.</w:t>
      </w:r>
    </w:p>
    <w:p w14:paraId="52FC392E" w14:textId="77777777" w:rsidR="008062CA" w:rsidRDefault="007F214E" w:rsidP="00A6302B">
      <w:pPr>
        <w:pStyle w:val="Heading2"/>
        <w:rPr>
          <w:sz w:val="24"/>
          <w:szCs w:val="24"/>
        </w:rPr>
      </w:pPr>
      <w:bookmarkStart w:id="3" w:name="_heading=h.3znysh7" w:colFirst="0" w:colLast="0"/>
      <w:bookmarkEnd w:id="3"/>
      <w:r>
        <w:t>2.3 Program Procedure and Schedule</w:t>
      </w:r>
    </w:p>
    <w:p w14:paraId="312A8C21"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Promotion period and launch of the call</w:t>
      </w:r>
    </w:p>
    <w:p w14:paraId="484E8F7A" w14:textId="77777777" w:rsidR="008062CA" w:rsidRDefault="007F214E">
      <w:pPr>
        <w:spacing w:before="0"/>
        <w:ind w:firstLine="720"/>
        <w:rPr>
          <w:rFonts w:ascii="Cambria" w:eastAsia="Cambria" w:hAnsi="Cambria" w:cs="Cambria"/>
          <w:sz w:val="24"/>
          <w:szCs w:val="24"/>
        </w:rPr>
      </w:pPr>
      <w:r>
        <w:rPr>
          <w:rFonts w:ascii="Cambria" w:eastAsia="Cambria" w:hAnsi="Cambria" w:cs="Cambria"/>
          <w:color w:val="263238"/>
          <w:sz w:val="24"/>
          <w:szCs w:val="24"/>
        </w:rPr>
        <w:t xml:space="preserve">TA CR: </w:t>
      </w:r>
      <w:r>
        <w:rPr>
          <w:rFonts w:ascii="Cambria" w:eastAsia="Cambria" w:hAnsi="Cambria" w:cs="Cambria"/>
          <w:sz w:val="24"/>
          <w:szCs w:val="24"/>
        </w:rPr>
        <w:t>10 March - 17 May 2023</w:t>
      </w:r>
    </w:p>
    <w:p w14:paraId="08E30BB9"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1 June 2023 (launch of the call)</w:t>
      </w:r>
    </w:p>
    <w:p w14:paraId="094567DD"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 xml:space="preserve">Project submission period </w:t>
      </w:r>
    </w:p>
    <w:p w14:paraId="46AE50D7"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TA CR: 18 May - 19 July 2023</w:t>
      </w:r>
    </w:p>
    <w:p w14:paraId="286033DB"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1 June - 11 September 2023 (competition period)</w:t>
      </w:r>
    </w:p>
    <w:p w14:paraId="0DB213AE" w14:textId="77777777" w:rsidR="008062CA" w:rsidRDefault="007F214E">
      <w:pPr>
        <w:spacing w:before="0"/>
        <w:ind w:left="720"/>
        <w:rPr>
          <w:rFonts w:ascii="Cambria" w:eastAsia="Cambria" w:hAnsi="Cambria" w:cs="Cambria"/>
          <w:sz w:val="24"/>
          <w:szCs w:val="24"/>
        </w:rPr>
      </w:pPr>
      <w:r>
        <w:rPr>
          <w:rFonts w:ascii="Cambria" w:eastAsia="Cambria" w:hAnsi="Cambria" w:cs="Cambria"/>
          <w:sz w:val="24"/>
          <w:szCs w:val="24"/>
        </w:rPr>
        <w:t xml:space="preserve">       11 September 2023 (submission date)</w:t>
      </w:r>
    </w:p>
    <w:p w14:paraId="03A9B9C1"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Evaluation period  (incl. eligibility check)</w:t>
      </w:r>
    </w:p>
    <w:p w14:paraId="2147D5CA"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TA CR: 20 July - 16 November 2023</w:t>
      </w:r>
    </w:p>
    <w:p w14:paraId="5BE17475"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12 September - 6 December 2023</w:t>
      </w:r>
    </w:p>
    <w:p w14:paraId="733D90AE"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Final exchange of results</w:t>
      </w:r>
    </w:p>
    <w:p w14:paraId="1BE45DCC" w14:textId="77777777" w:rsidR="008062CA" w:rsidRDefault="007F214E">
      <w:pPr>
        <w:spacing w:before="0"/>
        <w:ind w:firstLine="720"/>
        <w:rPr>
          <w:rFonts w:ascii="Cambria" w:eastAsia="Cambria" w:hAnsi="Cambria" w:cs="Cambria"/>
          <w:sz w:val="24"/>
          <w:szCs w:val="24"/>
        </w:rPr>
      </w:pPr>
      <w:r>
        <w:rPr>
          <w:rFonts w:ascii="Cambria" w:eastAsia="Cambria" w:hAnsi="Cambria" w:cs="Cambria"/>
          <w:color w:val="263238"/>
          <w:sz w:val="24"/>
          <w:szCs w:val="24"/>
        </w:rPr>
        <w:t xml:space="preserve">TA CR: </w:t>
      </w:r>
      <w:r>
        <w:rPr>
          <w:rFonts w:ascii="Cambria" w:eastAsia="Cambria" w:hAnsi="Cambria" w:cs="Cambria"/>
          <w:sz w:val="24"/>
          <w:szCs w:val="24"/>
        </w:rPr>
        <w:t>20 November - 29 November 2023</w:t>
      </w:r>
    </w:p>
    <w:p w14:paraId="22EF14E2" w14:textId="77777777" w:rsidR="008062CA" w:rsidRDefault="007F214E">
      <w:pPr>
        <w:spacing w:before="0"/>
        <w:ind w:firstLine="720"/>
        <w:rPr>
          <w:rFonts w:ascii="Cambria" w:eastAsia="Cambria" w:hAnsi="Cambria" w:cs="Cambria"/>
          <w:sz w:val="24"/>
          <w:szCs w:val="24"/>
        </w:rPr>
      </w:pPr>
      <w:r>
        <w:rPr>
          <w:rFonts w:ascii="Cambria" w:eastAsia="Cambria" w:hAnsi="Cambria" w:cs="Cambria"/>
          <w:sz w:val="24"/>
          <w:szCs w:val="24"/>
        </w:rPr>
        <w:t>IIA: 7 December 2023</w:t>
      </w:r>
    </w:p>
    <w:p w14:paraId="4900D74D" w14:textId="77777777" w:rsidR="008062CA" w:rsidRDefault="008062CA">
      <w:pPr>
        <w:spacing w:before="0"/>
        <w:ind w:firstLine="720"/>
        <w:rPr>
          <w:rFonts w:ascii="Cambria" w:eastAsia="Cambria" w:hAnsi="Cambria" w:cs="Cambria"/>
          <w:sz w:val="24"/>
          <w:szCs w:val="24"/>
        </w:rPr>
      </w:pPr>
    </w:p>
    <w:p w14:paraId="40507D77"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lastRenderedPageBreak/>
        <w:t xml:space="preserve">Final and binding results announcement (latest deadline) </w:t>
      </w:r>
    </w:p>
    <w:p w14:paraId="6AEA058F" w14:textId="77777777" w:rsidR="008062CA" w:rsidRDefault="007F214E">
      <w:pPr>
        <w:spacing w:before="0"/>
        <w:ind w:left="720" w:right="820"/>
        <w:rPr>
          <w:rFonts w:ascii="Cambria" w:eastAsia="Cambria" w:hAnsi="Cambria" w:cs="Cambria"/>
          <w:sz w:val="24"/>
          <w:szCs w:val="24"/>
        </w:rPr>
      </w:pPr>
      <w:r>
        <w:rPr>
          <w:rFonts w:ascii="Cambria" w:eastAsia="Cambria" w:hAnsi="Cambria" w:cs="Cambria"/>
          <w:sz w:val="24"/>
          <w:szCs w:val="24"/>
        </w:rPr>
        <w:t>TA CR: by 30 November 2023</w:t>
      </w:r>
    </w:p>
    <w:p w14:paraId="2EE43C28" w14:textId="77777777" w:rsidR="008062CA" w:rsidRDefault="007F214E">
      <w:pPr>
        <w:spacing w:before="0"/>
        <w:ind w:left="720" w:right="820"/>
        <w:rPr>
          <w:rFonts w:ascii="Cambria" w:eastAsia="Cambria" w:hAnsi="Cambria" w:cs="Cambria"/>
          <w:sz w:val="24"/>
          <w:szCs w:val="24"/>
        </w:rPr>
      </w:pPr>
      <w:r>
        <w:rPr>
          <w:rFonts w:ascii="Cambria" w:eastAsia="Cambria" w:hAnsi="Cambria" w:cs="Cambria"/>
          <w:sz w:val="24"/>
          <w:szCs w:val="24"/>
        </w:rPr>
        <w:t>IIA: by 21 December 2023</w:t>
      </w:r>
    </w:p>
    <w:p w14:paraId="04E49217" w14:textId="77777777" w:rsidR="008062CA" w:rsidRDefault="007F214E">
      <w:pPr>
        <w:numPr>
          <w:ilvl w:val="0"/>
          <w:numId w:val="6"/>
        </w:numPr>
        <w:spacing w:before="0"/>
        <w:ind w:right="820"/>
        <w:rPr>
          <w:rFonts w:ascii="Cambria" w:eastAsia="Cambria" w:hAnsi="Cambria" w:cs="Cambria"/>
          <w:sz w:val="24"/>
          <w:szCs w:val="24"/>
        </w:rPr>
      </w:pPr>
      <w:r>
        <w:rPr>
          <w:rFonts w:ascii="Cambria" w:eastAsia="Cambria" w:hAnsi="Cambria" w:cs="Cambria"/>
          <w:sz w:val="24"/>
          <w:szCs w:val="24"/>
        </w:rPr>
        <w:t xml:space="preserve">Project Kickoff &amp; Start of Funding </w:t>
      </w:r>
    </w:p>
    <w:p w14:paraId="4FC541BD" w14:textId="77777777" w:rsidR="008062CA" w:rsidRDefault="007F214E">
      <w:pPr>
        <w:spacing w:before="0"/>
        <w:ind w:left="720" w:right="820"/>
        <w:rPr>
          <w:rFonts w:ascii="Cambria" w:eastAsia="Cambria" w:hAnsi="Cambria" w:cs="Cambria"/>
          <w:sz w:val="24"/>
          <w:szCs w:val="24"/>
        </w:rPr>
      </w:pPr>
      <w:r>
        <w:rPr>
          <w:rFonts w:ascii="Cambria" w:eastAsia="Cambria" w:hAnsi="Cambria" w:cs="Cambria"/>
          <w:sz w:val="24"/>
          <w:szCs w:val="24"/>
        </w:rPr>
        <w:t>January 2024</w:t>
      </w:r>
    </w:p>
    <w:p w14:paraId="5D77D124" w14:textId="77777777" w:rsidR="008062CA" w:rsidRDefault="008062CA">
      <w:pPr>
        <w:spacing w:before="0" w:line="312" w:lineRule="auto"/>
        <w:ind w:left="780" w:right="820"/>
        <w:rPr>
          <w:rFonts w:ascii="Cambria" w:eastAsia="Cambria" w:hAnsi="Cambria" w:cs="Cambria"/>
          <w:sz w:val="24"/>
          <w:szCs w:val="24"/>
        </w:rPr>
      </w:pPr>
      <w:bookmarkStart w:id="4" w:name="_heading=h.2et92p0" w:colFirst="0" w:colLast="0"/>
      <w:bookmarkEnd w:id="4"/>
    </w:p>
    <w:p w14:paraId="589F37FB" w14:textId="77777777" w:rsidR="008062CA" w:rsidRDefault="007F214E">
      <w:pPr>
        <w:spacing w:before="0"/>
        <w:rPr>
          <w:rFonts w:ascii="Cambria" w:eastAsia="Cambria" w:hAnsi="Cambria" w:cs="Cambria"/>
          <w:sz w:val="24"/>
          <w:szCs w:val="24"/>
        </w:rPr>
      </w:pPr>
      <w:r>
        <w:rPr>
          <w:rFonts w:ascii="Cambria" w:eastAsia="Cambria" w:hAnsi="Cambria" w:cs="Cambria"/>
          <w:sz w:val="24"/>
          <w:szCs w:val="24"/>
        </w:rPr>
        <w:t>The TA CR and IIA  mutually agree that the final results announcement will be synchronized to the same date.</w:t>
      </w:r>
    </w:p>
    <w:p w14:paraId="6F337338" w14:textId="77777777" w:rsidR="008062CA" w:rsidRDefault="008062CA">
      <w:pPr>
        <w:spacing w:before="0"/>
        <w:rPr>
          <w:rFonts w:ascii="Cambria" w:eastAsia="Cambria" w:hAnsi="Cambria" w:cs="Cambria"/>
          <w:sz w:val="24"/>
          <w:szCs w:val="24"/>
        </w:rPr>
      </w:pPr>
    </w:p>
    <w:p w14:paraId="23D81FC9" w14:textId="77777777" w:rsidR="008062CA" w:rsidRDefault="007F214E">
      <w:pPr>
        <w:spacing w:before="0"/>
        <w:rPr>
          <w:rFonts w:ascii="Cambria" w:eastAsia="Cambria" w:hAnsi="Cambria" w:cs="Cambria"/>
          <w:sz w:val="24"/>
          <w:szCs w:val="24"/>
        </w:rPr>
      </w:pPr>
      <w:r>
        <w:rPr>
          <w:rFonts w:ascii="Cambria" w:eastAsia="Cambria" w:hAnsi="Cambria" w:cs="Cambria"/>
          <w:color w:val="3C4043"/>
          <w:sz w:val="24"/>
          <w:szCs w:val="24"/>
        </w:rPr>
        <w:t>The TA CR is obliged to announce the final results of the joint call for proposals on its official website.</w:t>
      </w:r>
      <w:r>
        <w:rPr>
          <w:rFonts w:ascii="Cambria" w:eastAsia="Cambria" w:hAnsi="Cambria" w:cs="Cambria"/>
          <w:color w:val="3C4043"/>
          <w:sz w:val="23"/>
          <w:szCs w:val="23"/>
        </w:rPr>
        <w:t xml:space="preserve"> </w:t>
      </w:r>
      <w:r>
        <w:rPr>
          <w:rFonts w:ascii="Cambria" w:eastAsia="Cambria" w:hAnsi="Cambria" w:cs="Cambria"/>
          <w:color w:val="3C4043"/>
          <w:sz w:val="24"/>
          <w:szCs w:val="24"/>
        </w:rPr>
        <w:t>In case the final results are not announced on the website by the last working day of December 2023, the TA CR might not be able to finance the projects.</w:t>
      </w:r>
    </w:p>
    <w:p w14:paraId="35481FFC" w14:textId="77777777" w:rsidR="008062CA" w:rsidRDefault="007F214E">
      <w:pPr>
        <w:spacing w:before="0" w:line="312" w:lineRule="auto"/>
        <w:ind w:left="780" w:right="820"/>
        <w:rPr>
          <w:rFonts w:ascii="Cambria" w:eastAsia="Cambria" w:hAnsi="Cambria" w:cs="Cambria"/>
          <w:sz w:val="24"/>
          <w:szCs w:val="24"/>
        </w:rPr>
      </w:pPr>
      <w:bookmarkStart w:id="5" w:name="_heading=h.6updd0j2u2cf" w:colFirst="0" w:colLast="0"/>
      <w:bookmarkEnd w:id="5"/>
      <w:r>
        <w:rPr>
          <w:rFonts w:ascii="Cambria" w:eastAsia="Cambria" w:hAnsi="Cambria" w:cs="Cambria"/>
          <w:sz w:val="24"/>
          <w:szCs w:val="24"/>
        </w:rPr>
        <w:t xml:space="preserve"> </w:t>
      </w:r>
    </w:p>
    <w:p w14:paraId="2AFFE8B4" w14:textId="77777777" w:rsidR="008062CA" w:rsidRDefault="007F214E" w:rsidP="00A6302B">
      <w:pPr>
        <w:pStyle w:val="Heading2"/>
        <w:rPr>
          <w:sz w:val="24"/>
          <w:szCs w:val="24"/>
        </w:rPr>
      </w:pPr>
      <w:r>
        <w:t>2.4 Project Duration and Funding</w:t>
      </w:r>
    </w:p>
    <w:p w14:paraId="368F1948"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TA CR and IIA will fund the respective nationals in the selected consortia in accordance with their national/regional funding rules. Supplementary funding may come from participant’s own resources should the total project cost exceed the government funding.</w:t>
      </w:r>
    </w:p>
    <w:p w14:paraId="2AC9BB78" w14:textId="77777777" w:rsidR="008062CA" w:rsidRDefault="008062CA">
      <w:pPr>
        <w:spacing w:before="0" w:line="312" w:lineRule="auto"/>
        <w:jc w:val="both"/>
        <w:rPr>
          <w:rFonts w:ascii="Cambria" w:eastAsia="Cambria" w:hAnsi="Cambria" w:cs="Cambria"/>
          <w:sz w:val="24"/>
          <w:szCs w:val="24"/>
        </w:rPr>
      </w:pPr>
    </w:p>
    <w:p w14:paraId="1829BC0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Matching fund is the basis of the funding scheme but flexibility in the funding ratio may be allowed depending on the roles each participant undertakes.</w:t>
      </w:r>
    </w:p>
    <w:p w14:paraId="141FB67C" w14:textId="77777777" w:rsidR="008062CA" w:rsidRDefault="008062CA">
      <w:pPr>
        <w:spacing w:before="0" w:line="312" w:lineRule="auto"/>
        <w:jc w:val="both"/>
        <w:rPr>
          <w:rFonts w:ascii="Cambria" w:eastAsia="Cambria" w:hAnsi="Cambria" w:cs="Cambria"/>
          <w:sz w:val="24"/>
          <w:szCs w:val="24"/>
        </w:rPr>
      </w:pPr>
    </w:p>
    <w:p w14:paraId="1FA86746" w14:textId="77777777" w:rsidR="008062CA" w:rsidRDefault="007F214E">
      <w:pPr>
        <w:spacing w:before="0" w:line="312" w:lineRule="auto"/>
        <w:rPr>
          <w:rFonts w:ascii="Cambria" w:eastAsia="Cambria" w:hAnsi="Cambria" w:cs="Cambria"/>
          <w:color w:val="1155CC"/>
          <w:sz w:val="24"/>
          <w:szCs w:val="24"/>
          <w:u w:val="single"/>
        </w:rPr>
      </w:pPr>
      <w:r>
        <w:rPr>
          <w:rFonts w:ascii="Cambria" w:eastAsia="Cambria" w:hAnsi="Cambria" w:cs="Cambria"/>
          <w:sz w:val="24"/>
          <w:szCs w:val="24"/>
        </w:rPr>
        <w:t xml:space="preserve">Information about the Czech funding scheme “DELTA 2” is available at </w:t>
      </w:r>
      <w:hyperlink r:id="rId8">
        <w:r>
          <w:rPr>
            <w:rFonts w:ascii="Cambria" w:eastAsia="Cambria" w:hAnsi="Cambria" w:cs="Cambria"/>
            <w:color w:val="1155CC"/>
            <w:sz w:val="24"/>
            <w:szCs w:val="24"/>
            <w:u w:val="single"/>
          </w:rPr>
          <w:t>https://www.tacr.cz/en/delta-2-programme/</w:t>
        </w:r>
      </w:hyperlink>
      <w:r>
        <w:rPr>
          <w:rFonts w:ascii="Cambria" w:eastAsia="Cambria" w:hAnsi="Cambria" w:cs="Cambria"/>
          <w:color w:val="1155CC"/>
          <w:sz w:val="24"/>
          <w:szCs w:val="24"/>
          <w:u w:val="single"/>
        </w:rPr>
        <w:t xml:space="preserve">      </w:t>
      </w:r>
      <w:r>
        <w:fldChar w:fldCharType="begin"/>
      </w:r>
      <w:r>
        <w:instrText xml:space="preserve"> HYPERLINK "https://www.tacr.cz/index.php/en/programmes/delta-2-programmes.html" </w:instrText>
      </w:r>
      <w:r>
        <w:fldChar w:fldCharType="separate"/>
      </w:r>
    </w:p>
    <w:p w14:paraId="1A8EB310" w14:textId="77777777" w:rsidR="008062CA" w:rsidRDefault="007F214E">
      <w:pPr>
        <w:spacing w:before="0" w:line="312" w:lineRule="auto"/>
        <w:jc w:val="both"/>
        <w:rPr>
          <w:rFonts w:ascii="Cambria" w:eastAsia="Cambria" w:hAnsi="Cambria" w:cs="Cambria"/>
          <w:sz w:val="24"/>
          <w:szCs w:val="24"/>
        </w:rPr>
      </w:pPr>
      <w:r>
        <w:fldChar w:fldCharType="end"/>
      </w:r>
    </w:p>
    <w:p w14:paraId="6F781CFD" w14:textId="77777777" w:rsidR="008062CA" w:rsidRDefault="007F214E">
      <w:pPr>
        <w:spacing w:before="0" w:line="312" w:lineRule="auto"/>
        <w:rPr>
          <w:rFonts w:ascii="Cambria" w:eastAsia="Cambria" w:hAnsi="Cambria" w:cs="Cambria"/>
          <w:sz w:val="26"/>
          <w:szCs w:val="26"/>
        </w:rPr>
      </w:pPr>
      <w:r>
        <w:rPr>
          <w:rFonts w:ascii="Cambria" w:eastAsia="Cambria" w:hAnsi="Cambria" w:cs="Cambria"/>
          <w:sz w:val="24"/>
          <w:szCs w:val="24"/>
        </w:rPr>
        <w:t xml:space="preserve">Information about the Israeli funding scheme is available at </w:t>
      </w:r>
      <w:hyperlink r:id="rId9">
        <w:r>
          <w:rPr>
            <w:rFonts w:ascii="Cambria" w:eastAsia="Cambria" w:hAnsi="Cambria" w:cs="Cambria"/>
            <w:color w:val="1155CC"/>
            <w:sz w:val="24"/>
            <w:szCs w:val="24"/>
            <w:u w:val="single"/>
          </w:rPr>
          <w:t>https://innovationisrael.org.il/node/2763/maslulim</w:t>
        </w:r>
      </w:hyperlink>
    </w:p>
    <w:p w14:paraId="6DFD0E3E" w14:textId="77777777" w:rsidR="008062CA" w:rsidRDefault="008062CA">
      <w:pPr>
        <w:spacing w:before="0" w:line="312" w:lineRule="auto"/>
        <w:ind w:left="1120" w:hanging="360"/>
        <w:rPr>
          <w:rFonts w:ascii="Arial" w:eastAsia="Arial" w:hAnsi="Arial" w:cs="Arial"/>
        </w:rPr>
      </w:pPr>
    </w:p>
    <w:p w14:paraId="201855F0"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Czech</w:t>
      </w:r>
    </w:p>
    <w:p w14:paraId="60A5A3F0"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Budget and support intensity</w:t>
      </w:r>
    </w:p>
    <w:p w14:paraId="4D8F2087"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total max. budget of the 5th call for proposals under DELTA 2 programme is</w:t>
      </w:r>
    </w:p>
    <w:p w14:paraId="06DFBBEE"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160 mil CZK (approx. 7.2 mil USD*). </w:t>
      </w:r>
    </w:p>
    <w:p w14:paraId="5039479E"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max. budget per project is 16 mil CZK (approx. 720 000 USD).</w:t>
      </w:r>
    </w:p>
    <w:p w14:paraId="407D4E0B"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subsidy is provided annually on a grant basis. The project funding limitation</w:t>
      </w:r>
    </w:p>
    <w:p w14:paraId="2227C714" w14:textId="77777777" w:rsidR="008062CA" w:rsidRDefault="008062CA">
      <w:pPr>
        <w:spacing w:before="0" w:line="312" w:lineRule="auto"/>
        <w:ind w:left="1080" w:hanging="360"/>
        <w:jc w:val="both"/>
        <w:rPr>
          <w:rFonts w:ascii="Cambria" w:eastAsia="Cambria" w:hAnsi="Cambria" w:cs="Cambria"/>
          <w:sz w:val="24"/>
          <w:szCs w:val="24"/>
        </w:rPr>
      </w:pPr>
    </w:p>
    <w:p w14:paraId="6B0CFDE4" w14:textId="77777777" w:rsidR="008062CA" w:rsidRDefault="008062CA">
      <w:pPr>
        <w:spacing w:before="0" w:line="312" w:lineRule="auto"/>
        <w:ind w:left="1080" w:hanging="360"/>
        <w:jc w:val="both"/>
        <w:rPr>
          <w:rFonts w:ascii="Cambria" w:eastAsia="Cambria" w:hAnsi="Cambria" w:cs="Cambria"/>
          <w:sz w:val="24"/>
          <w:szCs w:val="24"/>
        </w:rPr>
      </w:pPr>
    </w:p>
    <w:p w14:paraId="6C74F36F" w14:textId="77777777" w:rsidR="008062CA" w:rsidRDefault="008062CA">
      <w:pPr>
        <w:spacing w:before="0" w:line="312" w:lineRule="auto"/>
        <w:ind w:left="1080" w:hanging="360"/>
        <w:jc w:val="both"/>
        <w:rPr>
          <w:rFonts w:ascii="Cambria" w:eastAsia="Cambria" w:hAnsi="Cambria" w:cs="Cambria"/>
          <w:sz w:val="24"/>
          <w:szCs w:val="24"/>
        </w:rPr>
      </w:pPr>
    </w:p>
    <w:p w14:paraId="5DABE0D5" w14:textId="77777777" w:rsidR="008062CA" w:rsidRDefault="007F214E">
      <w:pPr>
        <w:spacing w:before="0" w:line="312" w:lineRule="auto"/>
        <w:ind w:left="1080" w:hanging="360"/>
        <w:jc w:val="both"/>
        <w:rPr>
          <w:rFonts w:ascii="Cambria" w:eastAsia="Cambria" w:hAnsi="Cambria" w:cs="Cambria"/>
          <w:sz w:val="24"/>
          <w:szCs w:val="24"/>
          <w:vertAlign w:val="superscript"/>
        </w:rPr>
      </w:pPr>
      <w:r>
        <w:rPr>
          <w:rFonts w:ascii="Cambria" w:eastAsia="Cambria" w:hAnsi="Cambria" w:cs="Cambria"/>
          <w:sz w:val="24"/>
          <w:szCs w:val="24"/>
        </w:rPr>
        <w:t>is derived from the Regulation (EU) No 651/2014.</w:t>
      </w:r>
      <w:r>
        <w:rPr>
          <w:rFonts w:ascii="Cambria" w:eastAsia="Cambria" w:hAnsi="Cambria" w:cs="Cambria"/>
          <w:sz w:val="24"/>
          <w:szCs w:val="24"/>
          <w:vertAlign w:val="superscript"/>
        </w:rPr>
        <w:footnoteReference w:id="3"/>
      </w:r>
    </w:p>
    <w:p w14:paraId="25DD40CB"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      Should the project be found to be disqualified from the interim evaluations, </w:t>
      </w:r>
    </w:p>
    <w:p w14:paraId="340B776D"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the TA CR may retrieve the unused government funding. </w:t>
      </w:r>
    </w:p>
    <w:p w14:paraId="36F1559C" w14:textId="77777777" w:rsidR="008062CA" w:rsidRDefault="007F214E">
      <w:pPr>
        <w:spacing w:before="0" w:line="312" w:lineRule="auto"/>
        <w:ind w:left="1133" w:hanging="375"/>
        <w:jc w:val="both"/>
        <w:rPr>
          <w:rFonts w:ascii="Cambria" w:eastAsia="Cambria" w:hAnsi="Cambria" w:cs="Cambria"/>
          <w:sz w:val="24"/>
          <w:szCs w:val="24"/>
        </w:rPr>
      </w:pPr>
      <w:r>
        <w:rPr>
          <w:rFonts w:ascii="Cambria" w:eastAsia="Cambria" w:hAnsi="Cambria" w:cs="Cambria"/>
          <w:sz w:val="24"/>
          <w:szCs w:val="24"/>
        </w:rPr>
        <w:t xml:space="preserve">·    Funding will be awarded with an average funding intensity of 74 %. </w:t>
      </w:r>
    </w:p>
    <w:p w14:paraId="636E004F" w14:textId="77777777" w:rsidR="008062CA" w:rsidRDefault="007F214E">
      <w:pPr>
        <w:spacing w:before="0" w:line="312" w:lineRule="auto"/>
        <w:ind w:left="1133" w:hanging="375"/>
        <w:jc w:val="both"/>
        <w:rPr>
          <w:rFonts w:ascii="Cambria" w:eastAsia="Cambria" w:hAnsi="Cambria" w:cs="Cambria"/>
          <w:sz w:val="24"/>
          <w:szCs w:val="24"/>
        </w:rPr>
      </w:pPr>
      <w:r>
        <w:rPr>
          <w:rFonts w:ascii="Cambria" w:eastAsia="Cambria" w:hAnsi="Cambria" w:cs="Cambria"/>
          <w:sz w:val="24"/>
          <w:szCs w:val="24"/>
        </w:rPr>
        <w:t>Funding intensity per each project participant follows the EU rules .</w:t>
      </w:r>
    </w:p>
    <w:p w14:paraId="0E0ED136" w14:textId="77777777" w:rsidR="008062CA" w:rsidRDefault="007F214E">
      <w:pPr>
        <w:spacing w:before="0" w:line="312" w:lineRule="auto"/>
        <w:ind w:left="1140" w:hanging="360"/>
        <w:jc w:val="both"/>
        <w:rPr>
          <w:rFonts w:ascii="Cambria" w:eastAsia="Cambria" w:hAnsi="Cambria" w:cs="Cambria"/>
          <w:sz w:val="24"/>
          <w:szCs w:val="24"/>
        </w:rPr>
      </w:pPr>
      <w:r>
        <w:rPr>
          <w:rFonts w:ascii="Cambria" w:eastAsia="Cambria" w:hAnsi="Cambria" w:cs="Cambria"/>
          <w:sz w:val="24"/>
          <w:szCs w:val="24"/>
        </w:rPr>
        <w:t xml:space="preserve">·    Eligible project costs include personal costs, subcontracting costs, other direct </w:t>
      </w:r>
    </w:p>
    <w:p w14:paraId="697CB76B" w14:textId="77777777" w:rsidR="008062CA" w:rsidRDefault="007F214E">
      <w:pPr>
        <w:spacing w:before="0" w:line="312" w:lineRule="auto"/>
        <w:ind w:left="1140" w:hanging="360"/>
        <w:jc w:val="both"/>
        <w:rPr>
          <w:rFonts w:ascii="Cambria" w:eastAsia="Cambria" w:hAnsi="Cambria" w:cs="Cambria"/>
          <w:sz w:val="16"/>
          <w:szCs w:val="16"/>
        </w:rPr>
      </w:pPr>
      <w:r>
        <w:rPr>
          <w:rFonts w:ascii="Cambria" w:eastAsia="Cambria" w:hAnsi="Cambria" w:cs="Cambria"/>
          <w:sz w:val="24"/>
          <w:szCs w:val="24"/>
        </w:rPr>
        <w:t>costs, stipends.</w:t>
      </w:r>
    </w:p>
    <w:p w14:paraId="7095638D" w14:textId="77777777" w:rsidR="008062CA" w:rsidRDefault="007F214E">
      <w:pPr>
        <w:spacing w:before="0" w:line="312" w:lineRule="auto"/>
        <w:jc w:val="both"/>
        <w:rPr>
          <w:rFonts w:ascii="Cambria" w:eastAsia="Cambria" w:hAnsi="Cambria" w:cs="Cambria"/>
        </w:rPr>
      </w:pPr>
      <w:r>
        <w:rPr>
          <w:rFonts w:ascii="Cambria" w:eastAsia="Cambria" w:hAnsi="Cambria" w:cs="Cambria"/>
        </w:rPr>
        <w:t>*may vary depending on the exchange rate in effect at the time of launching the call</w:t>
      </w:r>
    </w:p>
    <w:p w14:paraId="2E1916B4"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 xml:space="preserve"> </w:t>
      </w:r>
    </w:p>
    <w:p w14:paraId="1388C23F"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Project duration</w:t>
      </w:r>
    </w:p>
    <w:p w14:paraId="0090AFFA" w14:textId="77777777" w:rsidR="008062CA" w:rsidRDefault="007F214E">
      <w:pPr>
        <w:spacing w:before="0" w:line="312" w:lineRule="auto"/>
        <w:ind w:left="708"/>
        <w:jc w:val="both"/>
        <w:rPr>
          <w:rFonts w:ascii="Cambria" w:eastAsia="Cambria" w:hAnsi="Cambria" w:cs="Cambria"/>
          <w:sz w:val="24"/>
          <w:szCs w:val="24"/>
        </w:rPr>
      </w:pPr>
      <w:r>
        <w:rPr>
          <w:rFonts w:ascii="Cambria" w:eastAsia="Cambria" w:hAnsi="Cambria" w:cs="Cambria"/>
          <w:sz w:val="24"/>
          <w:szCs w:val="24"/>
        </w:rPr>
        <w:t>·   The project must begin between January &amp; February 2024 and it can run up to December 2025.</w:t>
      </w:r>
    </w:p>
    <w:p w14:paraId="49BBA911"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xml:space="preserve">·     The TA CR will award funding from January 2024 following the conclusion </w:t>
      </w:r>
    </w:p>
    <w:p w14:paraId="3F51C133"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of agreement on the provision of funding with the lead applicant.</w:t>
      </w:r>
    </w:p>
    <w:p w14:paraId="3E6DA688" w14:textId="77777777" w:rsidR="008062CA" w:rsidRDefault="007F214E">
      <w:pPr>
        <w:spacing w:before="0" w:line="312" w:lineRule="auto"/>
        <w:ind w:firstLine="708"/>
        <w:jc w:val="both"/>
        <w:rPr>
          <w:rFonts w:ascii="Cambria" w:eastAsia="Cambria" w:hAnsi="Cambria" w:cs="Cambria"/>
          <w:sz w:val="24"/>
          <w:szCs w:val="24"/>
        </w:rPr>
      </w:pPr>
      <w:r>
        <w:rPr>
          <w:rFonts w:ascii="Cambria" w:eastAsia="Cambria" w:hAnsi="Cambria" w:cs="Cambria"/>
          <w:sz w:val="24"/>
          <w:szCs w:val="24"/>
        </w:rPr>
        <w:t xml:space="preserve">·     Government contribution is available for 24 months maximum. </w:t>
      </w:r>
    </w:p>
    <w:p w14:paraId="0F9A838E" w14:textId="77777777" w:rsidR="008062CA" w:rsidRDefault="008062CA">
      <w:pPr>
        <w:spacing w:before="0" w:line="312" w:lineRule="auto"/>
        <w:jc w:val="both"/>
        <w:rPr>
          <w:rFonts w:ascii="Cambria" w:eastAsia="Cambria" w:hAnsi="Cambria" w:cs="Cambria"/>
          <w:sz w:val="24"/>
          <w:szCs w:val="24"/>
        </w:rPr>
      </w:pPr>
    </w:p>
    <w:p w14:paraId="35B59163"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 xml:space="preserve">Israeli </w:t>
      </w:r>
    </w:p>
    <w:p w14:paraId="119762A7"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Budget and intensity of support</w:t>
      </w:r>
    </w:p>
    <w:p w14:paraId="77B0526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Main aspects of funding criteria for Israeli partners:</w:t>
      </w:r>
    </w:p>
    <w:p w14:paraId="4256C417" w14:textId="77777777" w:rsidR="008062CA" w:rsidRDefault="007F214E">
      <w:pPr>
        <w:numPr>
          <w:ilvl w:val="0"/>
          <w:numId w:val="2"/>
        </w:num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An Israeli R&amp;D performing company which initiates a single or multi-year program that will provide know-how, processes or methods for the manufacture of a new product, application, technology base service or  process. The product must have </w:t>
      </w:r>
    </w:p>
    <w:p w14:paraId="15AD6B84" w14:textId="77777777" w:rsidR="008062CA" w:rsidRDefault="007F214E">
      <w:pPr>
        <w:spacing w:before="0" w:line="312" w:lineRule="auto"/>
        <w:ind w:left="720"/>
        <w:jc w:val="both"/>
        <w:rPr>
          <w:rFonts w:ascii="Cambria" w:eastAsia="Cambria" w:hAnsi="Cambria" w:cs="Cambria"/>
          <w:sz w:val="24"/>
          <w:szCs w:val="24"/>
        </w:rPr>
      </w:pPr>
      <w:r>
        <w:rPr>
          <w:rFonts w:ascii="Cambria" w:eastAsia="Cambria" w:hAnsi="Cambria" w:cs="Cambria"/>
          <w:sz w:val="24"/>
          <w:szCs w:val="24"/>
        </w:rPr>
        <w:t xml:space="preserve">a sizeable potential for export sales. </w:t>
      </w:r>
    </w:p>
    <w:p w14:paraId="39027388" w14:textId="77777777" w:rsidR="008062CA" w:rsidRDefault="007F214E">
      <w:pPr>
        <w:numPr>
          <w:ilvl w:val="0"/>
          <w:numId w:val="2"/>
        </w:num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The support is in the form of a conditional grant amounting generally up to 50 % </w:t>
      </w:r>
    </w:p>
    <w:p w14:paraId="2E16F44F" w14:textId="77777777" w:rsidR="008062CA" w:rsidRDefault="007F214E">
      <w:pPr>
        <w:spacing w:before="0" w:line="312" w:lineRule="auto"/>
        <w:ind w:left="720"/>
        <w:jc w:val="both"/>
        <w:rPr>
          <w:rFonts w:ascii="Cambria" w:eastAsia="Cambria" w:hAnsi="Cambria" w:cs="Cambria"/>
          <w:sz w:val="24"/>
          <w:szCs w:val="24"/>
        </w:rPr>
      </w:pPr>
      <w:r>
        <w:rPr>
          <w:rFonts w:ascii="Cambria" w:eastAsia="Cambria" w:hAnsi="Cambria" w:cs="Cambria"/>
          <w:sz w:val="24"/>
          <w:szCs w:val="24"/>
        </w:rPr>
        <w:t xml:space="preserve">(+ regional incentives for companies located in "development zone") of the eligible R&amp;D budget. </w:t>
      </w:r>
    </w:p>
    <w:p w14:paraId="41A7549D" w14:textId="77777777" w:rsidR="008062CA" w:rsidRDefault="007F214E">
      <w:pPr>
        <w:numPr>
          <w:ilvl w:val="0"/>
          <w:numId w:val="2"/>
        </w:numPr>
        <w:spacing w:before="0" w:line="312" w:lineRule="auto"/>
        <w:jc w:val="both"/>
        <w:rPr>
          <w:rFonts w:ascii="Cambria" w:eastAsia="Cambria" w:hAnsi="Cambria" w:cs="Cambria"/>
          <w:sz w:val="24"/>
          <w:szCs w:val="24"/>
        </w:rPr>
      </w:pPr>
      <w:r>
        <w:rPr>
          <w:rFonts w:ascii="Cambria" w:eastAsia="Cambria" w:hAnsi="Cambria" w:cs="Cambria"/>
          <w:sz w:val="24"/>
          <w:szCs w:val="24"/>
        </w:rPr>
        <w:t>Further details regarding grants and payment of royalties are available at the IIA website.</w:t>
      </w:r>
    </w:p>
    <w:p w14:paraId="4B65E3AD" w14:textId="77777777" w:rsidR="008062CA" w:rsidRDefault="008062CA">
      <w:pPr>
        <w:spacing w:before="0" w:line="312" w:lineRule="auto"/>
        <w:jc w:val="both"/>
        <w:rPr>
          <w:rFonts w:ascii="Cambria" w:eastAsia="Cambria" w:hAnsi="Cambria" w:cs="Cambria"/>
          <w:sz w:val="24"/>
          <w:szCs w:val="24"/>
        </w:rPr>
      </w:pPr>
    </w:p>
    <w:p w14:paraId="1EDC391E" w14:textId="77777777" w:rsidR="008062CA" w:rsidRDefault="008062CA">
      <w:pPr>
        <w:spacing w:before="0" w:line="312" w:lineRule="auto"/>
        <w:jc w:val="both"/>
        <w:rPr>
          <w:rFonts w:ascii="Cambria" w:eastAsia="Cambria" w:hAnsi="Cambria" w:cs="Cambria"/>
          <w:sz w:val="24"/>
          <w:szCs w:val="24"/>
        </w:rPr>
      </w:pPr>
    </w:p>
    <w:p w14:paraId="01880281" w14:textId="77777777" w:rsidR="008062CA" w:rsidRDefault="008062CA">
      <w:pPr>
        <w:spacing w:before="0" w:line="312" w:lineRule="auto"/>
        <w:jc w:val="both"/>
        <w:rPr>
          <w:rFonts w:ascii="Cambria" w:eastAsia="Cambria" w:hAnsi="Cambria" w:cs="Cambria"/>
          <w:sz w:val="24"/>
          <w:szCs w:val="24"/>
        </w:rPr>
      </w:pPr>
    </w:p>
    <w:p w14:paraId="59D4B0B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funding will come from the overall budget of IIA.</w:t>
      </w:r>
    </w:p>
    <w:p w14:paraId="4F8CD3AB"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The subsidy is provided on a grant basis, with a matching funding requirement.  </w:t>
      </w:r>
    </w:p>
    <w:p w14:paraId="68A13557" w14:textId="77777777" w:rsidR="008062CA" w:rsidRDefault="008062CA">
      <w:pPr>
        <w:spacing w:before="0" w:line="312" w:lineRule="auto"/>
        <w:rPr>
          <w:rFonts w:ascii="Cambria" w:eastAsia="Cambria" w:hAnsi="Cambria" w:cs="Cambria"/>
          <w:sz w:val="24"/>
          <w:szCs w:val="24"/>
        </w:rPr>
      </w:pPr>
    </w:p>
    <w:p w14:paraId="0B882BD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Should the project be found to be disqualified from the interim evaluations, the IIA may retrieve the unused government funding.</w:t>
      </w:r>
    </w:p>
    <w:p w14:paraId="02078E49" w14:textId="77777777" w:rsidR="008062CA" w:rsidRDefault="008062CA">
      <w:pPr>
        <w:spacing w:before="0" w:line="312" w:lineRule="auto"/>
        <w:jc w:val="both"/>
        <w:rPr>
          <w:rFonts w:ascii="Cambria" w:eastAsia="Cambria" w:hAnsi="Cambria" w:cs="Cambria"/>
          <w:sz w:val="24"/>
          <w:szCs w:val="24"/>
        </w:rPr>
      </w:pPr>
    </w:p>
    <w:p w14:paraId="76EA478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Funding will be awarded with max. support intensity of 50 % of the total eligible costs per each project for the entire duration of the project. Eligible project costs specification can be found at: </w:t>
      </w:r>
      <w:hyperlink r:id="rId10">
        <w:r>
          <w:rPr>
            <w:rFonts w:ascii="Cambria" w:eastAsia="Cambria" w:hAnsi="Cambria" w:cs="Cambria"/>
            <w:color w:val="1155CC"/>
            <w:sz w:val="24"/>
            <w:szCs w:val="24"/>
            <w:u w:val="single"/>
          </w:rPr>
          <w:t>https://innovationisrael.org.il/node/2763/maslulim</w:t>
        </w:r>
      </w:hyperlink>
      <w:r>
        <w:rPr>
          <w:rFonts w:ascii="Cambria" w:eastAsia="Cambria" w:hAnsi="Cambria" w:cs="Cambria"/>
          <w:sz w:val="24"/>
          <w:szCs w:val="24"/>
        </w:rPr>
        <w:t xml:space="preserve"> </w:t>
      </w:r>
    </w:p>
    <w:p w14:paraId="14C805E8" w14:textId="77777777" w:rsidR="008062CA" w:rsidRDefault="008062CA">
      <w:pPr>
        <w:spacing w:before="0" w:line="312" w:lineRule="auto"/>
        <w:jc w:val="both"/>
        <w:rPr>
          <w:rFonts w:ascii="Cambria" w:eastAsia="Cambria" w:hAnsi="Cambria" w:cs="Cambria"/>
          <w:i/>
          <w:sz w:val="24"/>
          <w:szCs w:val="24"/>
        </w:rPr>
      </w:pPr>
    </w:p>
    <w:p w14:paraId="58974E4D" w14:textId="77777777" w:rsidR="008062CA" w:rsidRDefault="007F214E">
      <w:pPr>
        <w:spacing w:before="0" w:line="312" w:lineRule="auto"/>
        <w:jc w:val="both"/>
        <w:rPr>
          <w:rFonts w:ascii="Cambria" w:eastAsia="Cambria" w:hAnsi="Cambria" w:cs="Cambria"/>
          <w:i/>
          <w:sz w:val="24"/>
          <w:szCs w:val="24"/>
        </w:rPr>
      </w:pPr>
      <w:r>
        <w:rPr>
          <w:rFonts w:ascii="Cambria" w:eastAsia="Cambria" w:hAnsi="Cambria" w:cs="Cambria"/>
          <w:i/>
          <w:sz w:val="24"/>
          <w:szCs w:val="24"/>
        </w:rPr>
        <w:t>Project duration</w:t>
      </w:r>
    </w:p>
    <w:p w14:paraId="3FA3C294" w14:textId="77777777" w:rsidR="008062CA" w:rsidRDefault="007F214E">
      <w:pPr>
        <w:spacing w:before="0" w:line="312" w:lineRule="auto"/>
        <w:ind w:left="708"/>
        <w:jc w:val="both"/>
        <w:rPr>
          <w:rFonts w:ascii="Cambria" w:eastAsia="Cambria" w:hAnsi="Cambria" w:cs="Cambria"/>
          <w:sz w:val="24"/>
          <w:szCs w:val="24"/>
        </w:rPr>
      </w:pPr>
      <w:r>
        <w:rPr>
          <w:rFonts w:ascii="Cambria" w:eastAsia="Cambria" w:hAnsi="Cambria" w:cs="Cambria"/>
          <w:sz w:val="24"/>
          <w:szCs w:val="24"/>
        </w:rPr>
        <w:t>·        The project must begin in the period of 1st January 2024 to 29th February 2024.</w:t>
      </w:r>
    </w:p>
    <w:p w14:paraId="086C831B" w14:textId="77777777" w:rsidR="008062CA" w:rsidRDefault="007F214E">
      <w:pPr>
        <w:spacing w:before="0" w:line="312" w:lineRule="auto"/>
        <w:ind w:left="708"/>
        <w:jc w:val="both"/>
        <w:rPr>
          <w:rFonts w:ascii="Cambria" w:eastAsia="Cambria" w:hAnsi="Cambria" w:cs="Cambria"/>
          <w:sz w:val="24"/>
          <w:szCs w:val="24"/>
        </w:rPr>
      </w:pPr>
      <w:r>
        <w:rPr>
          <w:rFonts w:ascii="Cambria" w:eastAsia="Cambria" w:hAnsi="Cambria" w:cs="Cambria"/>
          <w:sz w:val="24"/>
          <w:szCs w:val="24"/>
        </w:rPr>
        <w:t>·    The IIA will award funding from January 2024 following the conclusion of agreement on the provision of funding with the lead applicant.</w:t>
      </w:r>
    </w:p>
    <w:p w14:paraId="45EE6665" w14:textId="77777777" w:rsidR="008062CA" w:rsidRDefault="007F214E">
      <w:pPr>
        <w:spacing w:before="0" w:line="312" w:lineRule="auto"/>
        <w:ind w:left="1080" w:hanging="360"/>
        <w:jc w:val="both"/>
        <w:rPr>
          <w:rFonts w:ascii="Cambria" w:eastAsia="Cambria" w:hAnsi="Cambria" w:cs="Cambria"/>
          <w:sz w:val="24"/>
          <w:szCs w:val="24"/>
        </w:rPr>
      </w:pPr>
      <w:r>
        <w:rPr>
          <w:rFonts w:ascii="Cambria" w:eastAsia="Cambria" w:hAnsi="Cambria" w:cs="Cambria"/>
          <w:sz w:val="24"/>
          <w:szCs w:val="24"/>
        </w:rPr>
        <w:t>·        The Israeli government contribution is available for 24 months maximum.</w:t>
      </w:r>
    </w:p>
    <w:p w14:paraId="65DB0462" w14:textId="77777777" w:rsidR="008062CA" w:rsidRDefault="007F214E">
      <w:pPr>
        <w:pBdr>
          <w:top w:val="nil"/>
          <w:left w:val="nil"/>
          <w:bottom w:val="nil"/>
          <w:right w:val="nil"/>
          <w:between w:val="nil"/>
        </w:pBdr>
        <w:spacing w:before="280" w:after="80" w:line="311" w:lineRule="auto"/>
        <w:ind w:left="720" w:hanging="360"/>
        <w:jc w:val="both"/>
        <w:rPr>
          <w:rFonts w:ascii="Cambria" w:eastAsia="Cambria" w:hAnsi="Cambria" w:cs="Cambria"/>
          <w:b/>
          <w:color w:val="000000"/>
          <w:sz w:val="26"/>
          <w:szCs w:val="26"/>
        </w:rPr>
      </w:pPr>
      <w:bookmarkStart w:id="6" w:name="_heading=h.tyjcwt" w:colFirst="0" w:colLast="0"/>
      <w:bookmarkEnd w:id="6"/>
      <w:r>
        <w:rPr>
          <w:rFonts w:ascii="Cambria" w:eastAsia="Cambria" w:hAnsi="Cambria" w:cs="Cambria"/>
          <w:b/>
          <w:color w:val="000000"/>
          <w:sz w:val="26"/>
          <w:szCs w:val="26"/>
        </w:rPr>
        <w:t>2.5 Proposal Submission</w:t>
      </w:r>
    </w:p>
    <w:p w14:paraId="1E441FAF"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By the Call Deadline on 11 September 2023 (binding for IIA applicants) and by the Call Deadline on 19 July 2023 (binding for TA CR applicants), the lead organizations from both countries shall file to the respective organization the documents as follows:</w:t>
      </w:r>
    </w:p>
    <w:p w14:paraId="36804E9F" w14:textId="77777777" w:rsidR="008062CA" w:rsidRDefault="007F214E">
      <w:pPr>
        <w:numPr>
          <w:ilvl w:val="0"/>
          <w:numId w:val="8"/>
        </w:numPr>
        <w:spacing w:before="0" w:line="312" w:lineRule="auto"/>
        <w:jc w:val="both"/>
        <w:rPr>
          <w:rFonts w:ascii="Arial" w:eastAsia="Arial" w:hAnsi="Arial" w:cs="Arial"/>
        </w:rPr>
      </w:pPr>
      <w:r>
        <w:rPr>
          <w:rFonts w:ascii="Cambria" w:eastAsia="Cambria" w:hAnsi="Cambria" w:cs="Cambria"/>
          <w:sz w:val="24"/>
          <w:szCs w:val="24"/>
        </w:rPr>
        <w:t>A common proposal (attached), written in the English language.</w:t>
      </w:r>
    </w:p>
    <w:p w14:paraId="7354FFA0" w14:textId="77777777" w:rsidR="008062CA" w:rsidRDefault="007F214E">
      <w:pPr>
        <w:spacing w:before="0" w:line="312" w:lineRule="auto"/>
        <w:ind w:left="2295" w:hanging="855"/>
        <w:jc w:val="both"/>
        <w:rPr>
          <w:rFonts w:ascii="Cambria" w:eastAsia="Cambria" w:hAnsi="Cambria" w:cs="Cambria"/>
          <w:sz w:val="24"/>
          <w:szCs w:val="24"/>
        </w:rPr>
      </w:pPr>
      <w:r>
        <w:rPr>
          <w:rFonts w:ascii="Cambria" w:eastAsia="Cambria" w:hAnsi="Cambria" w:cs="Cambria"/>
          <w:sz w:val="24"/>
          <w:szCs w:val="24"/>
        </w:rPr>
        <w:t>The proposal shall be filled in English and legally signed by all participants (both Czech and Israeli).</w:t>
      </w:r>
    </w:p>
    <w:p w14:paraId="1EDFA379" w14:textId="77777777" w:rsidR="008062CA" w:rsidRDefault="007F214E">
      <w:pPr>
        <w:numPr>
          <w:ilvl w:val="0"/>
          <w:numId w:val="3"/>
        </w:numPr>
        <w:spacing w:before="0" w:line="312" w:lineRule="auto"/>
        <w:jc w:val="both"/>
        <w:rPr>
          <w:rFonts w:ascii="Arial" w:eastAsia="Arial" w:hAnsi="Arial" w:cs="Arial"/>
        </w:rPr>
      </w:pPr>
      <w:r>
        <w:rPr>
          <w:rFonts w:ascii="Cambria" w:eastAsia="Cambria" w:hAnsi="Cambria" w:cs="Cambria"/>
          <w:sz w:val="24"/>
          <w:szCs w:val="24"/>
        </w:rPr>
        <w:t>Funding documents as required by the respective organization pursuant to the rules set forth within.</w:t>
      </w:r>
    </w:p>
    <w:p w14:paraId="048F26A9" w14:textId="77777777" w:rsidR="008062CA" w:rsidRDefault="008062CA">
      <w:pPr>
        <w:spacing w:before="0" w:line="312" w:lineRule="auto"/>
        <w:jc w:val="both"/>
        <w:rPr>
          <w:rFonts w:ascii="Cambria" w:eastAsia="Cambria" w:hAnsi="Cambria" w:cs="Cambria"/>
          <w:sz w:val="24"/>
          <w:szCs w:val="24"/>
          <w:u w:val="single"/>
        </w:rPr>
      </w:pPr>
    </w:p>
    <w:p w14:paraId="02CAE2BC"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Czech</w:t>
      </w:r>
    </w:p>
    <w:p w14:paraId="3C6908C2"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Czech participants shall upload a complete funding application at the time of the proposal submission.</w:t>
      </w:r>
    </w:p>
    <w:p w14:paraId="2481D8BE"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More information is available at: </w:t>
      </w:r>
      <w:hyperlink r:id="rId11">
        <w:r>
          <w:rPr>
            <w:rFonts w:ascii="Cambria" w:eastAsia="Cambria" w:hAnsi="Cambria" w:cs="Cambria"/>
            <w:color w:val="1155CC"/>
            <w:sz w:val="24"/>
            <w:szCs w:val="24"/>
            <w:u w:val="single"/>
          </w:rPr>
          <w:t>https://www.tacr.cz/soutez/program-delta-2/</w:t>
        </w:r>
      </w:hyperlink>
      <w:r>
        <w:rPr>
          <w:rFonts w:ascii="Cambria" w:eastAsia="Cambria" w:hAnsi="Cambria" w:cs="Cambria"/>
          <w:sz w:val="24"/>
          <w:szCs w:val="24"/>
        </w:rPr>
        <w:t xml:space="preserve"> (CZ) or </w:t>
      </w:r>
      <w:hyperlink r:id="rId12">
        <w:r>
          <w:rPr>
            <w:rFonts w:ascii="Cambria" w:eastAsia="Cambria" w:hAnsi="Cambria" w:cs="Cambria"/>
            <w:color w:val="1155CC"/>
            <w:sz w:val="24"/>
            <w:szCs w:val="24"/>
            <w:u w:val="single"/>
          </w:rPr>
          <w:t>https://www.tacr.cz/en/delta-2-programme/</w:t>
        </w:r>
      </w:hyperlink>
      <w:r>
        <w:rPr>
          <w:rFonts w:ascii="Cambria" w:eastAsia="Cambria" w:hAnsi="Cambria" w:cs="Cambria"/>
          <w:sz w:val="24"/>
          <w:szCs w:val="24"/>
        </w:rPr>
        <w:t xml:space="preserve"> (ENG)</w:t>
      </w:r>
    </w:p>
    <w:p w14:paraId="2464A879"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lastRenderedPageBreak/>
        <w:t>Consultation at an early stage (before the call is launched) is highly recommended. After the call launch on 17 May 2023 only consultations via the official TA CR online helpdesk</w:t>
      </w:r>
    </w:p>
    <w:p w14:paraId="449FED51" w14:textId="77777777" w:rsidR="008062CA" w:rsidRDefault="008062CA">
      <w:pPr>
        <w:spacing w:before="0" w:line="312" w:lineRule="auto"/>
        <w:jc w:val="both"/>
        <w:rPr>
          <w:rFonts w:ascii="Cambria" w:eastAsia="Cambria" w:hAnsi="Cambria" w:cs="Cambria"/>
          <w:sz w:val="24"/>
          <w:szCs w:val="24"/>
        </w:rPr>
      </w:pPr>
    </w:p>
    <w:p w14:paraId="4660219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w:t>
      </w:r>
      <w:hyperlink r:id="rId13">
        <w:r>
          <w:rPr>
            <w:rFonts w:ascii="Cambria" w:eastAsia="Cambria" w:hAnsi="Cambria" w:cs="Cambria"/>
            <w:color w:val="1155CC"/>
            <w:sz w:val="24"/>
            <w:szCs w:val="24"/>
            <w:u w:val="single"/>
          </w:rPr>
          <w:t>https://helpdesk.tacr.cz/</w:t>
        </w:r>
      </w:hyperlink>
      <w:r>
        <w:rPr>
          <w:rFonts w:ascii="Cambria" w:eastAsia="Cambria" w:hAnsi="Cambria" w:cs="Cambria"/>
          <w:sz w:val="24"/>
          <w:szCs w:val="24"/>
        </w:rPr>
        <w:t>) is available in order to secure the same access to information to all applicants.</w:t>
      </w:r>
    </w:p>
    <w:p w14:paraId="70F50CD8" w14:textId="77777777" w:rsidR="008062CA" w:rsidRDefault="008062CA">
      <w:pPr>
        <w:spacing w:before="0" w:line="312" w:lineRule="auto"/>
        <w:jc w:val="both"/>
        <w:rPr>
          <w:rFonts w:ascii="Cambria" w:eastAsia="Cambria" w:hAnsi="Cambria" w:cs="Cambria"/>
          <w:sz w:val="24"/>
          <w:szCs w:val="24"/>
          <w:u w:val="single"/>
        </w:rPr>
      </w:pPr>
    </w:p>
    <w:p w14:paraId="03FAB1C2"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u w:val="single"/>
        </w:rPr>
        <w:t>Israeli</w:t>
      </w:r>
    </w:p>
    <w:p w14:paraId="4382198C"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Israeli applicants shall submit the completed funding application to the IIA at the time of the proposal submission. Submission deadline to the IIA: 11 September 2023 till 12:00.</w:t>
      </w:r>
    </w:p>
    <w:p w14:paraId="711AE0EE" w14:textId="77777777" w:rsidR="008062CA" w:rsidRDefault="008062CA">
      <w:pPr>
        <w:spacing w:before="0" w:line="312" w:lineRule="auto"/>
        <w:jc w:val="both"/>
        <w:rPr>
          <w:rFonts w:ascii="Cambria" w:eastAsia="Cambria" w:hAnsi="Cambria" w:cs="Cambria"/>
          <w:sz w:val="24"/>
          <w:szCs w:val="24"/>
        </w:rPr>
      </w:pPr>
    </w:p>
    <w:p w14:paraId="2F33F8D5" w14:textId="77777777" w:rsidR="008062CA" w:rsidRDefault="007F214E">
      <w:pPr>
        <w:numPr>
          <w:ilvl w:val="0"/>
          <w:numId w:val="5"/>
        </w:numPr>
        <w:spacing w:before="0"/>
        <w:jc w:val="both"/>
        <w:rPr>
          <w:sz w:val="24"/>
          <w:szCs w:val="24"/>
        </w:rPr>
      </w:pPr>
      <w:r>
        <w:rPr>
          <w:rFonts w:ascii="Cambria" w:eastAsia="Cambria" w:hAnsi="Cambria" w:cs="Cambria"/>
          <w:sz w:val="24"/>
          <w:szCs w:val="24"/>
        </w:rPr>
        <w:t xml:space="preserve">Israeli applicants will be invited to submit in addition and at the same time as the short project outline their funding applications to the IIA using this link: </w:t>
      </w:r>
    </w:p>
    <w:p w14:paraId="77DDCC48" w14:textId="77777777" w:rsidR="008062CA" w:rsidRDefault="00000000">
      <w:pPr>
        <w:spacing w:before="0" w:after="200"/>
        <w:ind w:left="720"/>
        <w:jc w:val="both"/>
        <w:rPr>
          <w:rFonts w:ascii="Cambria" w:eastAsia="Cambria" w:hAnsi="Cambria" w:cs="Cambria"/>
          <w:sz w:val="28"/>
          <w:szCs w:val="28"/>
        </w:rPr>
      </w:pPr>
      <w:hyperlink r:id="rId14">
        <w:r w:rsidR="007F214E">
          <w:rPr>
            <w:rFonts w:ascii="Cambria" w:eastAsia="Cambria" w:hAnsi="Cambria" w:cs="Cambria"/>
            <w:color w:val="0000FF"/>
            <w:sz w:val="24"/>
            <w:szCs w:val="24"/>
            <w:u w:val="single"/>
          </w:rPr>
          <w:t>https://innovationisrael.org.il/</w:t>
        </w:r>
      </w:hyperlink>
    </w:p>
    <w:p w14:paraId="12F2DC3F" w14:textId="77777777" w:rsidR="008062CA" w:rsidRDefault="007F214E">
      <w:pPr>
        <w:numPr>
          <w:ilvl w:val="0"/>
          <w:numId w:val="5"/>
        </w:numPr>
        <w:spacing w:before="0" w:after="200"/>
        <w:jc w:val="both"/>
        <w:rPr>
          <w:rFonts w:ascii="Cambria" w:eastAsia="Cambria" w:hAnsi="Cambria" w:cs="Cambria"/>
          <w:sz w:val="24"/>
          <w:szCs w:val="24"/>
        </w:rPr>
      </w:pPr>
      <w:r>
        <w:rPr>
          <w:rFonts w:ascii="Cambria" w:eastAsia="Cambria" w:hAnsi="Cambria" w:cs="Cambria"/>
          <w:sz w:val="24"/>
          <w:szCs w:val="24"/>
        </w:rPr>
        <w:t>A provisional consortium agreement among project partners is needed at the moment of proposal submission in this phase.</w:t>
      </w:r>
    </w:p>
    <w:p w14:paraId="09F81A8E" w14:textId="77777777" w:rsidR="008062CA" w:rsidRDefault="007F214E">
      <w:pPr>
        <w:numPr>
          <w:ilvl w:val="0"/>
          <w:numId w:val="5"/>
        </w:numPr>
        <w:spacing w:before="0" w:after="200"/>
        <w:jc w:val="both"/>
        <w:rPr>
          <w:rFonts w:ascii="Cambria" w:eastAsia="Cambria" w:hAnsi="Cambria" w:cs="Cambria"/>
          <w:sz w:val="24"/>
          <w:szCs w:val="24"/>
        </w:rPr>
      </w:pPr>
      <w:r>
        <w:rPr>
          <w:rFonts w:ascii="Cambria" w:eastAsia="Cambria" w:hAnsi="Cambria" w:cs="Cambria"/>
          <w:sz w:val="24"/>
          <w:szCs w:val="24"/>
        </w:rPr>
        <w:t>Companies should contact the IIA program manager before submission in order to receive the submission guidelines (see contact information at the end of the document).</w:t>
      </w:r>
    </w:p>
    <w:p w14:paraId="0E1F7FDF" w14:textId="77777777" w:rsidR="008062CA" w:rsidRDefault="007F214E">
      <w:pPr>
        <w:pBdr>
          <w:top w:val="nil"/>
          <w:left w:val="nil"/>
          <w:bottom w:val="nil"/>
          <w:right w:val="nil"/>
          <w:between w:val="nil"/>
        </w:pBdr>
        <w:spacing w:before="0" w:line="312" w:lineRule="auto"/>
        <w:jc w:val="both"/>
        <w:rPr>
          <w:rFonts w:ascii="Cambria" w:eastAsia="Cambria" w:hAnsi="Cambria" w:cs="Cambria"/>
          <w:sz w:val="24"/>
          <w:szCs w:val="24"/>
        </w:rPr>
      </w:pPr>
      <w:r>
        <w:rPr>
          <w:rFonts w:ascii="Cambria" w:eastAsia="Cambria" w:hAnsi="Cambria" w:cs="Cambria"/>
          <w:sz w:val="24"/>
          <w:szCs w:val="24"/>
        </w:rPr>
        <w:t>The forms have to be legally signed by all participating companies.</w:t>
      </w:r>
    </w:p>
    <w:p w14:paraId="69795005" w14:textId="77777777" w:rsidR="008062CA" w:rsidRDefault="007F214E">
      <w:pPr>
        <w:pBdr>
          <w:top w:val="nil"/>
          <w:left w:val="nil"/>
          <w:bottom w:val="nil"/>
          <w:right w:val="nil"/>
          <w:between w:val="nil"/>
        </w:pBdr>
        <w:spacing w:before="0" w:line="312" w:lineRule="auto"/>
        <w:jc w:val="both"/>
        <w:rPr>
          <w:rFonts w:ascii="Cambria" w:eastAsia="Cambria" w:hAnsi="Cambria" w:cs="Cambria"/>
          <w:sz w:val="24"/>
          <w:szCs w:val="24"/>
        </w:rPr>
      </w:pPr>
      <w:r>
        <w:rPr>
          <w:rFonts w:ascii="Cambria" w:eastAsia="Cambria" w:hAnsi="Cambria" w:cs="Cambria"/>
          <w:sz w:val="24"/>
          <w:szCs w:val="24"/>
        </w:rPr>
        <w:t>The signatures must be scanned and sent together with the form as an integral part of the application. The forms must be filled in English, signed by all project partners and sent to the program manager.</w:t>
      </w:r>
    </w:p>
    <w:p w14:paraId="6DFFD0FE" w14:textId="77777777" w:rsidR="008062CA" w:rsidRDefault="007F214E" w:rsidP="00A6302B">
      <w:pPr>
        <w:pStyle w:val="Heading2"/>
      </w:pPr>
      <w:bookmarkStart w:id="7" w:name="_heading=h.uo414wxnrg94" w:colFirst="0" w:colLast="0"/>
      <w:bookmarkEnd w:id="7"/>
      <w:r>
        <w:t>2.6 Proposal Evaluation Procedure</w:t>
      </w:r>
    </w:p>
    <w:p w14:paraId="0A017FD0"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The TA CR and IIA will independently evaluate the submitted proposals in accordance with the respective national/regional rules and regulations. Evaluation results for the top candidates will be shared and discussed between two organizations. Finally, the TA CR and</w:t>
      </w:r>
    </w:p>
    <w:p w14:paraId="7690F273" w14:textId="77777777" w:rsidR="008062CA" w:rsidRDefault="007F214E">
      <w:pPr>
        <w:spacing w:before="0" w:line="312" w:lineRule="auto"/>
        <w:jc w:val="both"/>
        <w:rPr>
          <w:rFonts w:ascii="Cambria" w:eastAsia="Cambria" w:hAnsi="Cambria" w:cs="Cambria"/>
          <w:sz w:val="24"/>
          <w:szCs w:val="24"/>
          <w:u w:val="single"/>
        </w:rPr>
      </w:pPr>
      <w:r>
        <w:rPr>
          <w:rFonts w:ascii="Cambria" w:eastAsia="Cambria" w:hAnsi="Cambria" w:cs="Cambria"/>
          <w:sz w:val="24"/>
          <w:szCs w:val="24"/>
        </w:rPr>
        <w:t>IIA will jointly select the final consortia within approximately 4.5 months after the call deadline.</w:t>
      </w:r>
    </w:p>
    <w:p w14:paraId="31B22635" w14:textId="77777777" w:rsidR="008062CA" w:rsidRDefault="008062CA">
      <w:pPr>
        <w:pBdr>
          <w:top w:val="nil"/>
          <w:left w:val="nil"/>
          <w:bottom w:val="nil"/>
          <w:right w:val="nil"/>
          <w:between w:val="nil"/>
        </w:pBdr>
        <w:spacing w:before="0" w:line="312" w:lineRule="auto"/>
        <w:jc w:val="both"/>
        <w:rPr>
          <w:rFonts w:ascii="Cambria" w:eastAsia="Cambria" w:hAnsi="Cambria" w:cs="Cambria"/>
          <w:sz w:val="24"/>
          <w:szCs w:val="24"/>
        </w:rPr>
      </w:pPr>
    </w:p>
    <w:p w14:paraId="1A707F9F" w14:textId="77777777" w:rsidR="008062CA" w:rsidRDefault="007F214E">
      <w:pPr>
        <w:pBdr>
          <w:top w:val="nil"/>
          <w:left w:val="nil"/>
          <w:bottom w:val="nil"/>
          <w:right w:val="nil"/>
          <w:between w:val="nil"/>
        </w:pBdr>
        <w:spacing w:before="0" w:line="312" w:lineRule="auto"/>
        <w:jc w:val="both"/>
        <w:rPr>
          <w:rFonts w:ascii="Cambria" w:eastAsia="Cambria" w:hAnsi="Cambria" w:cs="Cambria"/>
          <w:color w:val="3C4043"/>
          <w:sz w:val="24"/>
          <w:szCs w:val="24"/>
        </w:rPr>
      </w:pPr>
      <w:r>
        <w:rPr>
          <w:rFonts w:ascii="Cambria" w:eastAsia="Cambria" w:hAnsi="Cambria" w:cs="Cambria"/>
          <w:sz w:val="24"/>
          <w:szCs w:val="24"/>
        </w:rPr>
        <w:t>The TACR and IIA  mutually agree to exchange main arguments for rejecting/approving the  projects from/for getting financial support upon request. This information will not be shared by IIA to the third parties as it is strictly confidential and vice versa.</w:t>
      </w:r>
    </w:p>
    <w:p w14:paraId="68DCAB5C" w14:textId="77777777" w:rsidR="008062CA" w:rsidRDefault="008062CA">
      <w:pPr>
        <w:spacing w:before="0"/>
        <w:jc w:val="both"/>
        <w:rPr>
          <w:rFonts w:ascii="Cambria" w:eastAsia="Cambria" w:hAnsi="Cambria" w:cs="Cambria"/>
          <w:color w:val="3C4043"/>
          <w:sz w:val="24"/>
          <w:szCs w:val="24"/>
        </w:rPr>
      </w:pPr>
    </w:p>
    <w:p w14:paraId="74A6D5E4" w14:textId="77777777" w:rsidR="008062CA" w:rsidRDefault="007F214E">
      <w:pPr>
        <w:spacing w:before="0"/>
        <w:jc w:val="both"/>
        <w:rPr>
          <w:rFonts w:ascii="Cambria" w:eastAsia="Cambria" w:hAnsi="Cambria" w:cs="Cambria"/>
          <w:color w:val="3C4043"/>
          <w:sz w:val="24"/>
          <w:szCs w:val="24"/>
        </w:rPr>
      </w:pPr>
      <w:r>
        <w:rPr>
          <w:rFonts w:ascii="Cambria" w:eastAsia="Cambria" w:hAnsi="Cambria" w:cs="Cambria"/>
          <w:color w:val="3C4043"/>
          <w:sz w:val="24"/>
          <w:szCs w:val="24"/>
        </w:rPr>
        <w:lastRenderedPageBreak/>
        <w:t>The IIA requested that the following extra document will be submitted and needs to be signed by both, the TA CR and IIA before the final results are announced:</w:t>
      </w:r>
    </w:p>
    <w:p w14:paraId="3F687421" w14:textId="77777777" w:rsidR="008062CA" w:rsidRDefault="008062CA">
      <w:pPr>
        <w:spacing w:before="0"/>
        <w:rPr>
          <w:rFonts w:ascii="Cambria" w:eastAsia="Cambria" w:hAnsi="Cambria" w:cs="Cambria"/>
          <w:color w:val="3C4043"/>
          <w:sz w:val="24"/>
          <w:szCs w:val="24"/>
        </w:rPr>
      </w:pPr>
    </w:p>
    <w:p w14:paraId="253BE9D6" w14:textId="77777777" w:rsidR="008062CA" w:rsidRDefault="007F214E">
      <w:pPr>
        <w:numPr>
          <w:ilvl w:val="0"/>
          <w:numId w:val="9"/>
        </w:numPr>
        <w:spacing w:before="0"/>
        <w:rPr>
          <w:rFonts w:ascii="Cambria" w:eastAsia="Cambria" w:hAnsi="Cambria" w:cs="Cambria"/>
          <w:color w:val="3C4043"/>
          <w:sz w:val="24"/>
          <w:szCs w:val="24"/>
        </w:rPr>
      </w:pPr>
      <w:r>
        <w:rPr>
          <w:rFonts w:ascii="Cambria" w:eastAsia="Cambria" w:hAnsi="Cambria" w:cs="Cambria"/>
          <w:i/>
          <w:color w:val="3C4043"/>
          <w:sz w:val="24"/>
          <w:szCs w:val="24"/>
        </w:rPr>
        <w:t>Protocol on final evaluation results</w:t>
      </w:r>
      <w:r>
        <w:rPr>
          <w:rFonts w:ascii="Cambria" w:eastAsia="Cambria" w:hAnsi="Cambria" w:cs="Cambria"/>
          <w:color w:val="3C4043"/>
          <w:sz w:val="24"/>
          <w:szCs w:val="24"/>
        </w:rPr>
        <w:t xml:space="preserve"> - a document for internal use only.</w:t>
      </w:r>
    </w:p>
    <w:p w14:paraId="0686740A" w14:textId="77777777" w:rsidR="008062CA" w:rsidRDefault="008062CA">
      <w:pPr>
        <w:spacing w:before="0" w:line="312" w:lineRule="auto"/>
        <w:rPr>
          <w:rFonts w:ascii="Cambria" w:eastAsia="Cambria" w:hAnsi="Cambria" w:cs="Cambria"/>
          <w:sz w:val="24"/>
          <w:szCs w:val="24"/>
        </w:rPr>
      </w:pPr>
    </w:p>
    <w:p w14:paraId="6F1E4712"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Czech</w:t>
      </w:r>
    </w:p>
    <w:p w14:paraId="77997A84"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Project evaluation criteria:</w:t>
      </w:r>
    </w:p>
    <w:p w14:paraId="55FE1941"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Compliance of the project proposal with the objectives and focus of the programme and national priorities</w:t>
      </w:r>
    </w:p>
    <w:p w14:paraId="101BC3D5"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R&amp;D&amp;I project and suitability of the methods used</w:t>
      </w:r>
    </w:p>
    <w:p w14:paraId="14348777"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Knowledge of state-of-the-art</w:t>
      </w:r>
    </w:p>
    <w:p w14:paraId="3E3DA5D7"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Relevance of project results</w:t>
      </w:r>
    </w:p>
    <w:p w14:paraId="5E0FF921"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Applicability, project's benefits, and the applicant's ability to introduce the results into practice</w:t>
      </w:r>
    </w:p>
    <w:p w14:paraId="25D54088"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Economic and time efficiency of the project proposal</w:t>
      </w:r>
    </w:p>
    <w:p w14:paraId="01195735"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Project organisation and technical facilities, risk analysis</w:t>
      </w:r>
    </w:p>
    <w:p w14:paraId="44334FC4"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Project team</w:t>
      </w:r>
    </w:p>
    <w:p w14:paraId="7F87DEED"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International cooperation and consortium composition</w:t>
      </w:r>
    </w:p>
    <w:p w14:paraId="1A8035C4" w14:textId="77777777" w:rsidR="008062CA" w:rsidRDefault="007F214E">
      <w:pPr>
        <w:numPr>
          <w:ilvl w:val="0"/>
          <w:numId w:val="1"/>
        </w:numPr>
        <w:spacing w:before="0" w:line="312" w:lineRule="auto"/>
        <w:ind w:hanging="731"/>
        <w:jc w:val="both"/>
        <w:rPr>
          <w:rFonts w:ascii="Cambria" w:eastAsia="Cambria" w:hAnsi="Cambria" w:cs="Cambria"/>
          <w:sz w:val="24"/>
          <w:szCs w:val="24"/>
        </w:rPr>
      </w:pPr>
      <w:r>
        <w:rPr>
          <w:rFonts w:ascii="Cambria" w:eastAsia="Cambria" w:hAnsi="Cambria" w:cs="Cambria"/>
          <w:sz w:val="24"/>
          <w:szCs w:val="24"/>
        </w:rPr>
        <w:t>Incentive effect of funding</w:t>
      </w:r>
    </w:p>
    <w:p w14:paraId="439B69DC" w14:textId="77777777" w:rsidR="008062CA" w:rsidRDefault="008062CA">
      <w:pPr>
        <w:spacing w:before="0" w:line="312" w:lineRule="auto"/>
        <w:rPr>
          <w:rFonts w:ascii="Cambria" w:eastAsia="Cambria" w:hAnsi="Cambria" w:cs="Cambria"/>
          <w:sz w:val="24"/>
          <w:szCs w:val="24"/>
        </w:rPr>
      </w:pPr>
    </w:p>
    <w:p w14:paraId="3C38E59A"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Israeli</w:t>
      </w:r>
    </w:p>
    <w:p w14:paraId="6DCD2620"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Main project evaluation criteria</w:t>
      </w:r>
    </w:p>
    <w:p w14:paraId="723C8A04" w14:textId="77777777" w:rsidR="008062CA" w:rsidRDefault="007F214E">
      <w:pPr>
        <w:numPr>
          <w:ilvl w:val="0"/>
          <w:numId w:val="4"/>
        </w:numPr>
        <w:spacing w:before="0" w:line="312" w:lineRule="auto"/>
        <w:rPr>
          <w:rFonts w:ascii="Cambria" w:eastAsia="Cambria" w:hAnsi="Cambria" w:cs="Cambria"/>
          <w:sz w:val="24"/>
          <w:szCs w:val="24"/>
        </w:rPr>
      </w:pPr>
      <w:r>
        <w:rPr>
          <w:rFonts w:ascii="Cambria" w:eastAsia="Cambria" w:hAnsi="Cambria" w:cs="Cambria"/>
          <w:sz w:val="24"/>
          <w:szCs w:val="24"/>
        </w:rPr>
        <w:t xml:space="preserve">what is the degree of innovation </w:t>
      </w:r>
    </w:p>
    <w:p w14:paraId="1787A6FA" w14:textId="77777777" w:rsidR="008062CA" w:rsidRDefault="007F214E">
      <w:pPr>
        <w:numPr>
          <w:ilvl w:val="0"/>
          <w:numId w:val="4"/>
        </w:numPr>
        <w:spacing w:before="0" w:line="312" w:lineRule="auto"/>
        <w:rPr>
          <w:rFonts w:ascii="Cambria" w:eastAsia="Cambria" w:hAnsi="Cambria" w:cs="Cambria"/>
          <w:sz w:val="24"/>
          <w:szCs w:val="24"/>
        </w:rPr>
      </w:pPr>
      <w:r>
        <w:rPr>
          <w:rFonts w:ascii="Cambria" w:eastAsia="Cambria" w:hAnsi="Cambria" w:cs="Cambria"/>
          <w:sz w:val="24"/>
          <w:szCs w:val="24"/>
        </w:rPr>
        <w:t>project quality</w:t>
      </w:r>
    </w:p>
    <w:p w14:paraId="4A1D9179" w14:textId="77777777" w:rsidR="008062CA" w:rsidRDefault="007F214E">
      <w:pPr>
        <w:numPr>
          <w:ilvl w:val="0"/>
          <w:numId w:val="4"/>
        </w:numPr>
        <w:spacing w:before="0" w:line="312" w:lineRule="auto"/>
        <w:rPr>
          <w:rFonts w:ascii="Cambria" w:eastAsia="Cambria" w:hAnsi="Cambria" w:cs="Cambria"/>
          <w:sz w:val="24"/>
          <w:szCs w:val="24"/>
        </w:rPr>
      </w:pPr>
      <w:r>
        <w:rPr>
          <w:rFonts w:ascii="Cambria" w:eastAsia="Cambria" w:hAnsi="Cambria" w:cs="Cambria"/>
          <w:sz w:val="24"/>
          <w:szCs w:val="24"/>
        </w:rPr>
        <w:t>project consortia &amp; efficiency of the implementation</w:t>
      </w:r>
    </w:p>
    <w:p w14:paraId="6B62A1D3" w14:textId="77777777" w:rsidR="008062CA" w:rsidRDefault="007F214E" w:rsidP="00A6302B">
      <w:pPr>
        <w:pStyle w:val="Heading2"/>
      </w:pPr>
      <w:bookmarkStart w:id="8" w:name="_heading=h.1t3h5sf" w:colFirst="0" w:colLast="0"/>
      <w:bookmarkEnd w:id="8"/>
      <w:r>
        <w:t>2.7 Annual Evaluation / Progress Inspection</w:t>
      </w:r>
    </w:p>
    <w:p w14:paraId="41E717CF"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Czech</w:t>
      </w:r>
    </w:p>
    <w:p w14:paraId="5989394A" w14:textId="77777777" w:rsidR="008062CA" w:rsidRDefault="007F214E">
      <w:pPr>
        <w:spacing w:before="0" w:line="312" w:lineRule="auto"/>
        <w:jc w:val="both"/>
        <w:rPr>
          <w:rFonts w:ascii="Cambria" w:eastAsia="Cambria" w:hAnsi="Cambria" w:cs="Cambria"/>
          <w:sz w:val="24"/>
          <w:szCs w:val="24"/>
        </w:rPr>
      </w:pPr>
      <w:r>
        <w:rPr>
          <w:rFonts w:ascii="Cambria" w:eastAsia="Cambria" w:hAnsi="Cambria" w:cs="Cambria"/>
          <w:sz w:val="24"/>
          <w:szCs w:val="24"/>
        </w:rPr>
        <w:t xml:space="preserve">The TA CR performs regular inspections of the supported projects, once at least during its lifetime. Also, the TA CR may demand project reports for review and ad hoc inspections may be executed when a problem is indicated. In case the project is found to have failed its obligations, the Board of the TA CR may retrieve the TA CR funding, of which the final amount to be retrieved is calculated in accordance with the national rules and regulations in effect at the time. Should </w:t>
      </w:r>
      <w:r>
        <w:rPr>
          <w:rFonts w:ascii="Cambria" w:eastAsia="Cambria" w:hAnsi="Cambria" w:cs="Cambria"/>
          <w:sz w:val="24"/>
          <w:szCs w:val="24"/>
        </w:rPr>
        <w:lastRenderedPageBreak/>
        <w:t>the project be disqualified by the IIA side only, the case will be subject to further decision by the Board of the TA CR whether to retrieve the remaining government funding.</w:t>
      </w:r>
    </w:p>
    <w:p w14:paraId="0067A49A" w14:textId="77777777" w:rsidR="008062CA" w:rsidRDefault="008062CA">
      <w:pPr>
        <w:spacing w:before="0" w:line="312" w:lineRule="auto"/>
        <w:rPr>
          <w:rFonts w:ascii="Cambria" w:eastAsia="Cambria" w:hAnsi="Cambria" w:cs="Cambria"/>
          <w:sz w:val="24"/>
          <w:szCs w:val="24"/>
          <w:u w:val="single"/>
        </w:rPr>
      </w:pPr>
    </w:p>
    <w:p w14:paraId="23225DD2" w14:textId="77777777" w:rsidR="008062CA" w:rsidRDefault="008062CA">
      <w:pPr>
        <w:spacing w:before="200" w:line="312" w:lineRule="auto"/>
        <w:rPr>
          <w:rFonts w:ascii="Cambria" w:eastAsia="Cambria" w:hAnsi="Cambria" w:cs="Cambria"/>
          <w:sz w:val="24"/>
          <w:szCs w:val="24"/>
          <w:u w:val="single"/>
        </w:rPr>
      </w:pPr>
    </w:p>
    <w:p w14:paraId="78760BC4" w14:textId="77777777" w:rsidR="008062CA" w:rsidRDefault="007F214E">
      <w:pPr>
        <w:spacing w:before="0" w:line="312" w:lineRule="auto"/>
        <w:rPr>
          <w:rFonts w:ascii="Cambria" w:eastAsia="Cambria" w:hAnsi="Cambria" w:cs="Cambria"/>
          <w:sz w:val="24"/>
          <w:szCs w:val="24"/>
          <w:u w:val="single"/>
        </w:rPr>
      </w:pPr>
      <w:r>
        <w:rPr>
          <w:rFonts w:ascii="Cambria" w:eastAsia="Cambria" w:hAnsi="Cambria" w:cs="Cambria"/>
          <w:sz w:val="24"/>
          <w:szCs w:val="24"/>
          <w:u w:val="single"/>
        </w:rPr>
        <w:t>Israeli</w:t>
      </w:r>
    </w:p>
    <w:p w14:paraId="63AE5B8E" w14:textId="77777777" w:rsidR="008062CA" w:rsidRDefault="007F214E">
      <w:pPr>
        <w:spacing w:before="0"/>
        <w:jc w:val="both"/>
        <w:rPr>
          <w:rFonts w:ascii="Cambria" w:eastAsia="Cambria" w:hAnsi="Cambria" w:cs="Cambria"/>
          <w:sz w:val="24"/>
          <w:szCs w:val="24"/>
        </w:rPr>
      </w:pPr>
      <w:bookmarkStart w:id="9" w:name="_heading=h.frcgs8mk66hb" w:colFirst="0" w:colLast="0"/>
      <w:bookmarkEnd w:id="9"/>
      <w:r>
        <w:rPr>
          <w:rFonts w:ascii="Cambria" w:eastAsia="Cambria" w:hAnsi="Cambria" w:cs="Cambria"/>
          <w:sz w:val="24"/>
          <w:szCs w:val="24"/>
        </w:rPr>
        <w:t>The IIA will monitor and manage funded projects according to the National Laws, Rules, Regulations and Procedures in effect. This includes disbursing funds according to milestone reports and conducting announced site visits at funded companies. The IIA  reserves the right to discontinue funding in the case of non-performance. Should the project be disqualified by the Czech side only, the IIA will make procedural decisions on a case by case basis.</w:t>
      </w:r>
    </w:p>
    <w:p w14:paraId="32FB5272" w14:textId="77777777" w:rsidR="008062CA" w:rsidRDefault="008062CA">
      <w:pPr>
        <w:spacing w:before="0"/>
        <w:jc w:val="both"/>
        <w:rPr>
          <w:rFonts w:ascii="Cambria" w:eastAsia="Cambria" w:hAnsi="Cambria" w:cs="Cambria"/>
          <w:sz w:val="24"/>
          <w:szCs w:val="24"/>
        </w:rPr>
      </w:pPr>
      <w:bookmarkStart w:id="10" w:name="_heading=h.6cto32rouhyw" w:colFirst="0" w:colLast="0"/>
      <w:bookmarkEnd w:id="10"/>
    </w:p>
    <w:p w14:paraId="6E969C8E" w14:textId="77777777" w:rsidR="008062CA" w:rsidRDefault="007F214E" w:rsidP="00A6302B">
      <w:pPr>
        <w:pStyle w:val="Heading2"/>
      </w:pPr>
      <w:bookmarkStart w:id="11" w:name="_heading=h.2s8eyo1" w:colFirst="0" w:colLast="0"/>
      <w:bookmarkEnd w:id="11"/>
      <w:r>
        <w:t>3.  Contacts</w:t>
      </w:r>
    </w:p>
    <w:tbl>
      <w:tblPr>
        <w:tblStyle w:val="affffa"/>
        <w:tblW w:w="9306" w:type="dxa"/>
        <w:tblInd w:w="-155" w:type="dxa"/>
        <w:tblBorders>
          <w:top w:val="nil"/>
          <w:left w:val="nil"/>
          <w:bottom w:val="nil"/>
          <w:right w:val="nil"/>
          <w:insideH w:val="nil"/>
          <w:insideV w:val="nil"/>
        </w:tblBorders>
        <w:tblLayout w:type="fixed"/>
        <w:tblLook w:val="0620" w:firstRow="1" w:lastRow="0" w:firstColumn="0" w:lastColumn="0" w:noHBand="1" w:noVBand="1"/>
      </w:tblPr>
      <w:tblGrid>
        <w:gridCol w:w="4807"/>
        <w:gridCol w:w="440"/>
        <w:gridCol w:w="4059"/>
      </w:tblGrid>
      <w:tr w:rsidR="008062CA" w14:paraId="5D956265" w14:textId="77777777" w:rsidTr="00A6302B">
        <w:trPr>
          <w:trHeight w:val="1040"/>
        </w:trPr>
        <w:tc>
          <w:tcPr>
            <w:tcW w:w="4807" w:type="dxa"/>
            <w:tcBorders>
              <w:top w:val="nil"/>
              <w:left w:val="nil"/>
              <w:bottom w:val="nil"/>
              <w:right w:val="nil"/>
            </w:tcBorders>
            <w:tcMar>
              <w:top w:w="100" w:type="dxa"/>
              <w:left w:w="100" w:type="dxa"/>
              <w:bottom w:w="100" w:type="dxa"/>
              <w:right w:w="100" w:type="dxa"/>
            </w:tcMar>
          </w:tcPr>
          <w:p w14:paraId="2300D5D2"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TA CR</w:t>
            </w:r>
          </w:p>
          <w:p w14:paraId="721791DB" w14:textId="77777777" w:rsidR="008062CA" w:rsidRDefault="00000000">
            <w:pPr>
              <w:spacing w:before="0" w:line="312" w:lineRule="auto"/>
              <w:ind w:left="141" w:firstLine="135"/>
              <w:rPr>
                <w:rFonts w:ascii="Cambria" w:eastAsia="Cambria" w:hAnsi="Cambria" w:cs="Cambria"/>
                <w:sz w:val="24"/>
                <w:szCs w:val="24"/>
              </w:rPr>
            </w:pPr>
            <w:hyperlink r:id="rId15">
              <w:r w:rsidR="007F214E">
                <w:rPr>
                  <w:rFonts w:ascii="Cambria" w:eastAsia="Cambria" w:hAnsi="Cambria" w:cs="Cambria"/>
                  <w:color w:val="1155CC"/>
                  <w:sz w:val="24"/>
                  <w:szCs w:val="24"/>
                  <w:u w:val="single"/>
                </w:rPr>
                <w:t>www.tacr.cz</w:t>
              </w:r>
            </w:hyperlink>
          </w:p>
          <w:p w14:paraId="0D438416" w14:textId="77777777" w:rsidR="008062CA" w:rsidRDefault="008062CA">
            <w:pPr>
              <w:spacing w:before="0" w:line="312" w:lineRule="auto"/>
              <w:ind w:left="141" w:firstLine="135"/>
              <w:rPr>
                <w:rFonts w:ascii="Cambria" w:eastAsia="Cambria" w:hAnsi="Cambria" w:cs="Cambria"/>
                <w:sz w:val="24"/>
                <w:szCs w:val="24"/>
              </w:rPr>
            </w:pPr>
          </w:p>
          <w:p w14:paraId="722EE77A"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Ms. Radana Díťová</w:t>
            </w:r>
          </w:p>
          <w:p w14:paraId="0C7328F6"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E-mail: radana.ditova@tacr.cz</w:t>
            </w:r>
          </w:p>
          <w:p w14:paraId="38F71FBD"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Tel.: +420-234 611 637</w:t>
            </w:r>
          </w:p>
          <w:p w14:paraId="7B895C3D" w14:textId="77777777" w:rsidR="008062CA" w:rsidRDefault="008062CA">
            <w:pPr>
              <w:spacing w:before="0" w:line="312" w:lineRule="auto"/>
              <w:ind w:left="141" w:firstLine="135"/>
              <w:rPr>
                <w:rFonts w:ascii="Cambria" w:eastAsia="Cambria" w:hAnsi="Cambria" w:cs="Cambria"/>
                <w:sz w:val="24"/>
                <w:szCs w:val="24"/>
              </w:rPr>
            </w:pPr>
          </w:p>
          <w:p w14:paraId="5FA49468" w14:textId="77777777" w:rsidR="008062CA" w:rsidRDefault="008062CA">
            <w:pPr>
              <w:spacing w:before="0" w:line="312" w:lineRule="auto"/>
              <w:ind w:left="141" w:firstLine="135"/>
              <w:rPr>
                <w:rFonts w:ascii="Cambria" w:eastAsia="Cambria" w:hAnsi="Cambria" w:cs="Cambria"/>
                <w:sz w:val="24"/>
                <w:szCs w:val="24"/>
              </w:rPr>
            </w:pPr>
            <w:bookmarkStart w:id="12" w:name="_heading=h.52bgyxe5lvz1" w:colFirst="0" w:colLast="0"/>
            <w:bookmarkEnd w:id="12"/>
          </w:p>
          <w:p w14:paraId="47DE4A8C" w14:textId="77777777" w:rsidR="008062CA" w:rsidRDefault="007F214E">
            <w:pPr>
              <w:spacing w:before="0" w:line="312" w:lineRule="auto"/>
              <w:rPr>
                <w:rFonts w:ascii="Cambria" w:eastAsia="Cambria" w:hAnsi="Cambria" w:cs="Cambria"/>
                <w:sz w:val="24"/>
                <w:szCs w:val="24"/>
              </w:rPr>
            </w:pPr>
            <w:bookmarkStart w:id="13" w:name="_heading=h.wav9hgwldanz" w:colFirst="0" w:colLast="0"/>
            <w:bookmarkEnd w:id="13"/>
            <w:r>
              <w:rPr>
                <w:rFonts w:ascii="Cambria" w:eastAsia="Cambria" w:hAnsi="Cambria" w:cs="Cambria"/>
                <w:sz w:val="24"/>
                <w:szCs w:val="24"/>
              </w:rPr>
              <w:t xml:space="preserve">    Address:</w:t>
            </w:r>
          </w:p>
          <w:p w14:paraId="35DEC4DC"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Evropská 1692/37</w:t>
            </w:r>
          </w:p>
          <w:p w14:paraId="3E330A42"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160 00 Prague 6</w:t>
            </w:r>
          </w:p>
          <w:p w14:paraId="471D53C1" w14:textId="77777777" w:rsidR="008062CA" w:rsidRDefault="007F214E">
            <w:pPr>
              <w:spacing w:before="0" w:line="312" w:lineRule="auto"/>
              <w:ind w:left="141" w:firstLine="135"/>
              <w:rPr>
                <w:rFonts w:ascii="Cambria" w:eastAsia="Cambria" w:hAnsi="Cambria" w:cs="Cambria"/>
                <w:sz w:val="24"/>
                <w:szCs w:val="24"/>
              </w:rPr>
            </w:pPr>
            <w:r>
              <w:rPr>
                <w:rFonts w:ascii="Cambria" w:eastAsia="Cambria" w:hAnsi="Cambria" w:cs="Cambria"/>
                <w:sz w:val="24"/>
                <w:szCs w:val="24"/>
              </w:rPr>
              <w:t>Czech Republic</w:t>
            </w:r>
          </w:p>
        </w:tc>
        <w:tc>
          <w:tcPr>
            <w:tcW w:w="440" w:type="dxa"/>
            <w:tcBorders>
              <w:top w:val="nil"/>
              <w:left w:val="nil"/>
              <w:bottom w:val="nil"/>
              <w:right w:val="nil"/>
            </w:tcBorders>
            <w:tcMar>
              <w:top w:w="100" w:type="dxa"/>
              <w:left w:w="100" w:type="dxa"/>
              <w:bottom w:w="100" w:type="dxa"/>
              <w:right w:w="100" w:type="dxa"/>
            </w:tcMar>
          </w:tcPr>
          <w:p w14:paraId="4B22DB6B" w14:textId="77777777" w:rsidR="008062CA" w:rsidRDefault="008062CA">
            <w:pPr>
              <w:spacing w:before="0"/>
              <w:rPr>
                <w:rFonts w:ascii="Arial" w:eastAsia="Arial" w:hAnsi="Arial" w:cs="Arial"/>
              </w:rPr>
            </w:pPr>
          </w:p>
        </w:tc>
        <w:tc>
          <w:tcPr>
            <w:tcW w:w="4059" w:type="dxa"/>
            <w:tcBorders>
              <w:top w:val="nil"/>
              <w:left w:val="nil"/>
              <w:bottom w:val="nil"/>
              <w:right w:val="nil"/>
            </w:tcBorders>
            <w:tcMar>
              <w:top w:w="100" w:type="dxa"/>
              <w:left w:w="100" w:type="dxa"/>
              <w:bottom w:w="100" w:type="dxa"/>
              <w:right w:w="100" w:type="dxa"/>
            </w:tcMar>
          </w:tcPr>
          <w:p w14:paraId="13487C94"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 xml:space="preserve">IIA </w:t>
            </w:r>
          </w:p>
          <w:p w14:paraId="5EDFF209" w14:textId="77777777" w:rsidR="008062CA" w:rsidRDefault="00000000">
            <w:pPr>
              <w:spacing w:before="0" w:line="312" w:lineRule="auto"/>
              <w:rPr>
                <w:rFonts w:ascii="Cambria" w:eastAsia="Cambria" w:hAnsi="Cambria" w:cs="Cambria"/>
                <w:sz w:val="24"/>
                <w:szCs w:val="24"/>
              </w:rPr>
            </w:pPr>
            <w:hyperlink r:id="rId16">
              <w:r w:rsidR="007F214E">
                <w:rPr>
                  <w:rFonts w:ascii="Cambria" w:eastAsia="Cambria" w:hAnsi="Cambria" w:cs="Cambria"/>
                  <w:color w:val="1155CC"/>
                  <w:sz w:val="24"/>
                  <w:szCs w:val="24"/>
                  <w:u w:val="single"/>
                </w:rPr>
                <w:t>https://innovationisrael.org.il/en/</w:t>
              </w:r>
            </w:hyperlink>
            <w:r w:rsidR="007F214E">
              <w:rPr>
                <w:rFonts w:ascii="Cambria" w:eastAsia="Cambria" w:hAnsi="Cambria" w:cs="Cambria"/>
                <w:sz w:val="24"/>
                <w:szCs w:val="24"/>
              </w:rPr>
              <w:t xml:space="preserve"> </w:t>
            </w:r>
          </w:p>
          <w:p w14:paraId="50552CEB" w14:textId="77777777" w:rsidR="008062CA" w:rsidRDefault="008062CA">
            <w:pPr>
              <w:spacing w:before="0" w:line="312" w:lineRule="auto"/>
              <w:rPr>
                <w:rFonts w:ascii="Cambria" w:eastAsia="Cambria" w:hAnsi="Cambria" w:cs="Cambria"/>
                <w:sz w:val="24"/>
                <w:szCs w:val="24"/>
              </w:rPr>
            </w:pPr>
          </w:p>
          <w:p w14:paraId="6EA9118E"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Mr. Uzi Bar-Sadeh</w:t>
            </w:r>
          </w:p>
          <w:p w14:paraId="67135AC9"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E-mail: Uzi.BarSadeh@innovationisrael.org.il</w:t>
            </w:r>
          </w:p>
          <w:p w14:paraId="6C8EC7EE"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Tel.: +972-3-511-8185</w:t>
            </w:r>
          </w:p>
          <w:p w14:paraId="3C98D96A" w14:textId="77777777" w:rsidR="008062CA" w:rsidRDefault="008062CA">
            <w:pPr>
              <w:spacing w:before="0" w:line="312" w:lineRule="auto"/>
              <w:rPr>
                <w:rFonts w:ascii="Cambria" w:eastAsia="Cambria" w:hAnsi="Cambria" w:cs="Cambria"/>
                <w:sz w:val="24"/>
                <w:szCs w:val="24"/>
              </w:rPr>
            </w:pPr>
          </w:p>
          <w:p w14:paraId="4ED99D56"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Address:</w:t>
            </w:r>
          </w:p>
          <w:p w14:paraId="0D75C051"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Technology Park, Derech Agudat Sport, Ha’poel 2</w:t>
            </w:r>
          </w:p>
          <w:p w14:paraId="795F8F41" w14:textId="77777777" w:rsidR="008062CA" w:rsidRDefault="007F214E">
            <w:pPr>
              <w:spacing w:before="0" w:line="312" w:lineRule="auto"/>
              <w:rPr>
                <w:rFonts w:ascii="Cambria" w:eastAsia="Cambria" w:hAnsi="Cambria" w:cs="Cambria"/>
                <w:sz w:val="24"/>
                <w:szCs w:val="24"/>
              </w:rPr>
            </w:pPr>
            <w:r>
              <w:rPr>
                <w:rFonts w:ascii="Cambria" w:eastAsia="Cambria" w:hAnsi="Cambria" w:cs="Cambria"/>
                <w:sz w:val="24"/>
                <w:szCs w:val="24"/>
              </w:rPr>
              <w:t>Jerusalem 9695102, Israel</w:t>
            </w:r>
          </w:p>
          <w:p w14:paraId="6207BAC7" w14:textId="77777777" w:rsidR="008062CA" w:rsidRDefault="008062CA">
            <w:pPr>
              <w:spacing w:before="0" w:line="312" w:lineRule="auto"/>
              <w:rPr>
                <w:rFonts w:ascii="Cambria" w:eastAsia="Cambria" w:hAnsi="Cambria" w:cs="Cambria"/>
                <w:sz w:val="24"/>
                <w:szCs w:val="24"/>
              </w:rPr>
            </w:pPr>
          </w:p>
        </w:tc>
      </w:tr>
    </w:tbl>
    <w:p w14:paraId="7563ECFA" w14:textId="3E03CB24" w:rsidR="008062CA" w:rsidRDefault="008062CA" w:rsidP="007F214E">
      <w:pPr>
        <w:rPr>
          <w:rFonts w:ascii="Cambria" w:eastAsia="Cambria" w:hAnsi="Cambria" w:cs="Cambria"/>
          <w:b/>
          <w:sz w:val="24"/>
          <w:szCs w:val="24"/>
        </w:rPr>
      </w:pPr>
      <w:bookmarkStart w:id="14" w:name="_heading=h.b9d3vvkgvycl" w:colFirst="0" w:colLast="0"/>
      <w:bookmarkEnd w:id="14"/>
    </w:p>
    <w:sectPr w:rsidR="008062CA">
      <w:headerReference w:type="default" r:id="rId17"/>
      <w:footerReference w:type="default" r:id="rId18"/>
      <w:pgSz w:w="11906" w:h="16838"/>
      <w:pgMar w:top="1134" w:right="1134" w:bottom="1134" w:left="1134" w:header="2438"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ECB8" w14:textId="77777777" w:rsidR="00F63C9E" w:rsidRDefault="00F63C9E">
      <w:pPr>
        <w:spacing w:before="0" w:line="240" w:lineRule="auto"/>
      </w:pPr>
      <w:r>
        <w:separator/>
      </w:r>
    </w:p>
  </w:endnote>
  <w:endnote w:type="continuationSeparator" w:id="0">
    <w:p w14:paraId="49B6A3DB" w14:textId="77777777" w:rsidR="00F63C9E" w:rsidRDefault="00F63C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879B" w14:textId="77777777" w:rsidR="008062CA" w:rsidRDefault="008062CA">
    <w:pPr>
      <w:pBdr>
        <w:top w:val="nil"/>
        <w:left w:val="nil"/>
        <w:bottom w:val="nil"/>
        <w:right w:val="nil"/>
        <w:between w:val="nil"/>
      </w:pBdr>
      <w:tabs>
        <w:tab w:val="center" w:pos="4536"/>
        <w:tab w:val="right" w:pos="9072"/>
      </w:tabs>
      <w:spacing w:before="0" w:line="240" w:lineRule="auto"/>
      <w:jc w:val="right"/>
      <w:rPr>
        <w:color w:val="000000"/>
        <w:sz w:val="16"/>
        <w:szCs w:val="16"/>
      </w:rPr>
    </w:pPr>
  </w:p>
  <w:p w14:paraId="6E91EA52" w14:textId="77777777" w:rsidR="008062CA" w:rsidRDefault="008062CA">
    <w:pPr>
      <w:pBdr>
        <w:top w:val="nil"/>
        <w:left w:val="nil"/>
        <w:bottom w:val="nil"/>
        <w:right w:val="nil"/>
        <w:between w:val="nil"/>
      </w:pBdr>
      <w:tabs>
        <w:tab w:val="center" w:pos="4536"/>
        <w:tab w:val="right" w:pos="9072"/>
      </w:tabs>
      <w:spacing w:before="0" w:line="240" w:lineRule="auto"/>
      <w:jc w:val="right"/>
      <w:rPr>
        <w:color w:val="000000"/>
        <w:sz w:val="16"/>
        <w:szCs w:val="16"/>
      </w:rPr>
    </w:pPr>
  </w:p>
  <w:p w14:paraId="6ED741A7" w14:textId="77777777" w:rsidR="008062CA" w:rsidRDefault="007F214E">
    <w:pPr>
      <w:pBdr>
        <w:top w:val="nil"/>
        <w:left w:val="nil"/>
        <w:bottom w:val="nil"/>
        <w:right w:val="nil"/>
        <w:between w:val="nil"/>
      </w:pBdr>
      <w:tabs>
        <w:tab w:val="center" w:pos="4536"/>
        <w:tab w:val="right" w:pos="9072"/>
      </w:tabs>
      <w:spacing w:before="0" w:line="240" w:lineRule="auto"/>
      <w:jc w:val="right"/>
      <w:rPr>
        <w:rFonts w:ascii="Cambria" w:eastAsia="Cambria" w:hAnsi="Cambria" w:cs="Cambria"/>
        <w:color w:val="000000"/>
        <w:sz w:val="16"/>
        <w:szCs w:val="16"/>
      </w:rPr>
    </w:pPr>
    <w:r>
      <w:rPr>
        <w:rFonts w:ascii="Cambria" w:eastAsia="Cambria" w:hAnsi="Cambria" w:cs="Cambria"/>
        <w:color w:val="000000"/>
        <w:sz w:val="16"/>
        <w:szCs w:val="16"/>
      </w:rPr>
      <w:t xml:space="preserve">Page </w:t>
    </w:r>
    <w:r>
      <w:rPr>
        <w:rFonts w:ascii="Cambria" w:eastAsia="Cambria" w:hAnsi="Cambria" w:cs="Cambria"/>
        <w:color w:val="000000"/>
        <w:sz w:val="16"/>
        <w:szCs w:val="16"/>
      </w:rPr>
      <w:fldChar w:fldCharType="begin"/>
    </w:r>
    <w:r>
      <w:rPr>
        <w:rFonts w:ascii="Cambria" w:eastAsia="Cambria" w:hAnsi="Cambria" w:cs="Cambria"/>
        <w:color w:val="000000"/>
        <w:sz w:val="16"/>
        <w:szCs w:val="16"/>
      </w:rPr>
      <w:instrText>PAGE</w:instrText>
    </w:r>
    <w:r>
      <w:rPr>
        <w:rFonts w:ascii="Cambria" w:eastAsia="Cambria" w:hAnsi="Cambria" w:cs="Cambria"/>
        <w:color w:val="000000"/>
        <w:sz w:val="16"/>
        <w:szCs w:val="16"/>
      </w:rPr>
      <w:fldChar w:fldCharType="separate"/>
    </w:r>
    <w:r>
      <w:rPr>
        <w:rFonts w:ascii="Cambria" w:eastAsia="Cambria" w:hAnsi="Cambria" w:cs="Cambria"/>
        <w:noProof/>
        <w:color w:val="000000"/>
        <w:sz w:val="16"/>
        <w:szCs w:val="16"/>
      </w:rPr>
      <w:t>1</w:t>
    </w:r>
    <w:r>
      <w:rPr>
        <w:rFonts w:ascii="Cambria" w:eastAsia="Cambria" w:hAnsi="Cambria" w:cs="Cambria"/>
        <w:color w:val="000000"/>
        <w:sz w:val="16"/>
        <w:szCs w:val="16"/>
      </w:rPr>
      <w:fldChar w:fldCharType="end"/>
    </w:r>
    <w:r>
      <w:rPr>
        <w:rFonts w:ascii="Cambria" w:eastAsia="Cambria" w:hAnsi="Cambria" w:cs="Cambria"/>
        <w:color w:val="000000"/>
        <w:sz w:val="16"/>
        <w:szCs w:val="16"/>
      </w:rPr>
      <w:t>/</w:t>
    </w:r>
    <w:r>
      <w:rPr>
        <w:rFonts w:ascii="Cambria" w:eastAsia="Cambria" w:hAnsi="Cambria" w:cs="Cambria"/>
        <w:color w:val="000000"/>
        <w:sz w:val="16"/>
        <w:szCs w:val="16"/>
      </w:rPr>
      <w:fldChar w:fldCharType="begin"/>
    </w:r>
    <w:r>
      <w:rPr>
        <w:rFonts w:ascii="Cambria" w:eastAsia="Cambria" w:hAnsi="Cambria" w:cs="Cambria"/>
        <w:color w:val="000000"/>
        <w:sz w:val="16"/>
        <w:szCs w:val="16"/>
      </w:rPr>
      <w:instrText>NUMPAGES</w:instrText>
    </w:r>
    <w:r>
      <w:rPr>
        <w:rFonts w:ascii="Cambria" w:eastAsia="Cambria" w:hAnsi="Cambria" w:cs="Cambria"/>
        <w:color w:val="000000"/>
        <w:sz w:val="16"/>
        <w:szCs w:val="16"/>
      </w:rPr>
      <w:fldChar w:fldCharType="separate"/>
    </w:r>
    <w:r>
      <w:rPr>
        <w:rFonts w:ascii="Cambria" w:eastAsia="Cambria" w:hAnsi="Cambria" w:cs="Cambria"/>
        <w:noProof/>
        <w:color w:val="000000"/>
        <w:sz w:val="16"/>
        <w:szCs w:val="16"/>
      </w:rPr>
      <w:t>2</w:t>
    </w:r>
    <w:r>
      <w:rPr>
        <w:rFonts w:ascii="Cambria" w:eastAsia="Cambria" w:hAnsi="Cambria" w:cs="Cambri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AB47" w14:textId="77777777" w:rsidR="00F63C9E" w:rsidRDefault="00F63C9E">
      <w:pPr>
        <w:spacing w:before="0" w:line="240" w:lineRule="auto"/>
      </w:pPr>
      <w:r>
        <w:separator/>
      </w:r>
    </w:p>
  </w:footnote>
  <w:footnote w:type="continuationSeparator" w:id="0">
    <w:p w14:paraId="76A4E4B5" w14:textId="77777777" w:rsidR="00F63C9E" w:rsidRDefault="00F63C9E">
      <w:pPr>
        <w:spacing w:before="0" w:line="240" w:lineRule="auto"/>
      </w:pPr>
      <w:r>
        <w:continuationSeparator/>
      </w:r>
    </w:p>
  </w:footnote>
  <w:footnote w:id="1">
    <w:p w14:paraId="20C24707" w14:textId="77777777" w:rsidR="008062CA" w:rsidRDefault="007F214E">
      <w:pPr>
        <w:spacing w:before="0" w:line="240" w:lineRule="auto"/>
        <w:jc w:val="both"/>
        <w:rPr>
          <w:rFonts w:ascii="Cambria" w:eastAsia="Cambria" w:hAnsi="Cambria" w:cs="Cambria"/>
        </w:rPr>
      </w:pPr>
      <w:r>
        <w:rPr>
          <w:vertAlign w:val="superscript"/>
        </w:rPr>
        <w:footnoteRef/>
      </w:r>
      <w:r>
        <w:rPr>
          <w:rFonts w:ascii="Arial" w:eastAsia="Arial" w:hAnsi="Arial" w:cs="Arial"/>
          <w:sz w:val="20"/>
          <w:szCs w:val="20"/>
        </w:rPr>
        <w:t xml:space="preserve"> </w:t>
      </w:r>
      <w:r>
        <w:rPr>
          <w:rFonts w:ascii="Cambria" w:eastAsia="Cambria" w:hAnsi="Cambria" w:cs="Cambria"/>
        </w:rPr>
        <w:t>According to the Frascati manual, applied research is an original investigation undertaken in order to acquire new knowledge. It is, however, directed primarily towards a specific, practical aim or objective. Experimental development is systematic work, drawing on knowledge gained from research and practical experience and producing additional knowledge, which is directed to producing new products or processes or to improving existing products or processes. By the European Union standardised notion, innovation is defined as a new or significantly improved product (good or service) introduced to the market, or the introduction within an enterprise of a new or significantly improved process.</w:t>
      </w:r>
    </w:p>
  </w:footnote>
  <w:footnote w:id="2">
    <w:p w14:paraId="582B90C9" w14:textId="77777777" w:rsidR="008062CA" w:rsidRDefault="007F214E">
      <w:pPr>
        <w:spacing w:before="0" w:line="240" w:lineRule="auto"/>
        <w:jc w:val="both"/>
        <w:rPr>
          <w:rFonts w:ascii="Cambria" w:eastAsia="Cambria" w:hAnsi="Cambria" w:cs="Cambria"/>
        </w:rPr>
      </w:pPr>
      <w:r>
        <w:rPr>
          <w:vertAlign w:val="superscript"/>
        </w:rPr>
        <w:footnoteRef/>
      </w:r>
      <w:r>
        <w:rPr>
          <w:rFonts w:ascii="Arial" w:eastAsia="Arial" w:hAnsi="Arial" w:cs="Arial"/>
          <w:sz w:val="20"/>
          <w:szCs w:val="20"/>
        </w:rPr>
        <w:t xml:space="preserve"> </w:t>
      </w:r>
      <w:r>
        <w:rPr>
          <w:rFonts w:ascii="Cambria" w:eastAsia="Cambria" w:hAnsi="Cambria" w:cs="Cambria"/>
        </w:rPr>
        <w:t xml:space="preserve">Linked enterprises are enterprises which have any of the following relationships with each other: detaining a majority of voting rights into another enterprise, or equivalent control, such as the right to appoint or remove the supervisory body, or exercise a dominant influence pursuant to articles of association or agreement between shareholders. Partner enterprises are enterprises between which there is the following relationship: an upstream enterprise holds solely or jointly with one or more linked enterprises, 25 % or more of the capital or voting rights of a downstream enterprise. </w:t>
      </w:r>
    </w:p>
    <w:p w14:paraId="1A5E6688" w14:textId="77777777" w:rsidR="008062CA" w:rsidRDefault="007F214E">
      <w:pPr>
        <w:spacing w:before="0" w:line="240" w:lineRule="auto"/>
        <w:jc w:val="both"/>
        <w:rPr>
          <w:rFonts w:ascii="Cambria" w:eastAsia="Cambria" w:hAnsi="Cambria" w:cs="Cambria"/>
        </w:rPr>
      </w:pPr>
      <w:r>
        <w:rPr>
          <w:rFonts w:ascii="Cambria" w:eastAsia="Cambria" w:hAnsi="Cambria" w:cs="Cambria"/>
        </w:rPr>
        <w:t>(Appendix No. 1 of the Commission Regulation (EU No. 651/2014))</w:t>
      </w:r>
    </w:p>
  </w:footnote>
  <w:footnote w:id="3">
    <w:p w14:paraId="32903E62" w14:textId="77777777" w:rsidR="008062CA" w:rsidRDefault="007F214E">
      <w:pPr>
        <w:spacing w:before="0" w:line="240" w:lineRule="auto"/>
        <w:jc w:val="both"/>
        <w:rPr>
          <w:rFonts w:ascii="Cambria" w:eastAsia="Cambria" w:hAnsi="Cambria" w:cs="Cambria"/>
        </w:rPr>
      </w:pPr>
      <w:r>
        <w:rPr>
          <w:vertAlign w:val="superscript"/>
        </w:rPr>
        <w:footnoteRef/>
      </w:r>
      <w:r>
        <w:rPr>
          <w:rFonts w:ascii="Cambria" w:eastAsia="Cambria" w:hAnsi="Cambria" w:cs="Cambria"/>
        </w:rPr>
        <w:t xml:space="preserve"> </w:t>
      </w:r>
      <w:r>
        <w:rPr>
          <w:rFonts w:ascii="Cambria" w:eastAsia="Cambria" w:hAnsi="Cambria" w:cs="Cambria"/>
          <w:color w:val="263238"/>
        </w:rPr>
        <w:t>Commission Regulation (EU) No 651/2014 of 17 June 2014 declaring certain categories of aid compatible with the internal market in application of Articles 107 and 108 of the Treaty – Official Journal of the European Union L 187 of 26 June 2014 (hereinafter the “Regulation”), in particular, Articles 25, 28 and 29, as amended by Commission Regulation No. 2017/1084 of 14 July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096D" w14:textId="77777777" w:rsidR="008062CA" w:rsidRDefault="007F214E">
    <w:pPr>
      <w:pBdr>
        <w:top w:val="nil"/>
        <w:left w:val="nil"/>
        <w:bottom w:val="nil"/>
        <w:right w:val="nil"/>
        <w:between w:val="nil"/>
      </w:pBdr>
      <w:tabs>
        <w:tab w:val="center" w:pos="4536"/>
        <w:tab w:val="right" w:pos="9072"/>
      </w:tabs>
      <w:spacing w:line="240" w:lineRule="auto"/>
      <w:rPr>
        <w:highlight w:val="yellow"/>
      </w:rPr>
    </w:pPr>
    <w:r>
      <w:rPr>
        <w:noProof/>
      </w:rPr>
      <w:drawing>
        <wp:anchor distT="0" distB="0" distL="114300" distR="114300" simplePos="0" relativeHeight="251658240" behindDoc="0" locked="0" layoutInCell="1" hidden="0" allowOverlap="1" wp14:anchorId="356AC7E2" wp14:editId="5968CB3B">
          <wp:simplePos x="0" y="0"/>
          <wp:positionH relativeFrom="page">
            <wp:posOffset>4526551</wp:posOffset>
          </wp:positionH>
          <wp:positionV relativeFrom="page">
            <wp:posOffset>338455</wp:posOffset>
          </wp:positionV>
          <wp:extent cx="2491740" cy="855345"/>
          <wp:effectExtent l="0" t="0" r="0" b="0"/>
          <wp:wrapSquare wrapText="bothSides" distT="0" distB="0" distL="114300" distR="114300"/>
          <wp:docPr id="49"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9"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491740" cy="855345"/>
                  </a:xfrm>
                  <a:prstGeom prst="rect">
                    <a:avLst/>
                  </a:prstGeom>
                  <a:ln/>
                </pic:spPr>
              </pic:pic>
            </a:graphicData>
          </a:graphic>
        </wp:anchor>
      </w:drawing>
    </w:r>
    <w:r>
      <w:tab/>
      <w:t xml:space="preserve">                    </w:t>
    </w:r>
    <w:r>
      <w:tab/>
      <w:t xml:space="preserve">  </w:t>
    </w:r>
    <w:r>
      <w:rPr>
        <w:highlight w:val="yellow"/>
      </w:rPr>
      <w:t xml:space="preserve"> </w:t>
    </w:r>
    <w:r>
      <w:rPr>
        <w:noProof/>
      </w:rPr>
      <w:drawing>
        <wp:anchor distT="0" distB="0" distL="0" distR="0" simplePos="0" relativeHeight="251659264" behindDoc="0" locked="0" layoutInCell="1" hidden="0" allowOverlap="1" wp14:anchorId="2A2E5C8D" wp14:editId="244978F7">
          <wp:simplePos x="0" y="0"/>
          <wp:positionH relativeFrom="column">
            <wp:posOffset>-95385</wp:posOffset>
          </wp:positionH>
          <wp:positionV relativeFrom="paragraph">
            <wp:posOffset>-579393</wp:posOffset>
          </wp:positionV>
          <wp:extent cx="1846904" cy="950357"/>
          <wp:effectExtent l="0" t="0" r="0" b="0"/>
          <wp:wrapSquare wrapText="bothSides" distT="0" distB="0" distL="0" distR="0"/>
          <wp:docPr id="5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1846904" cy="95035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AE2462D" wp14:editId="31B2701A">
          <wp:simplePos x="0" y="0"/>
          <wp:positionH relativeFrom="column">
            <wp:posOffset>-304791</wp:posOffset>
          </wp:positionH>
          <wp:positionV relativeFrom="paragraph">
            <wp:posOffset>-1400168</wp:posOffset>
          </wp:positionV>
          <wp:extent cx="1247455" cy="1237933"/>
          <wp:effectExtent l="0" t="0" r="0" b="0"/>
          <wp:wrapNone/>
          <wp:docPr id="50"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 name="image3.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1247455" cy="12379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19C"/>
    <w:multiLevelType w:val="multilevel"/>
    <w:tmpl w:val="75C8D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087DB7"/>
    <w:multiLevelType w:val="multilevel"/>
    <w:tmpl w:val="3EB05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6A5DC9"/>
    <w:multiLevelType w:val="multilevel"/>
    <w:tmpl w:val="6BEEFD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70B2776"/>
    <w:multiLevelType w:val="multilevel"/>
    <w:tmpl w:val="1A767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D34161"/>
    <w:multiLevelType w:val="multilevel"/>
    <w:tmpl w:val="E5D0F4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7121738"/>
    <w:multiLevelType w:val="multilevel"/>
    <w:tmpl w:val="0BC4D39A"/>
    <w:lvl w:ilvl="0">
      <w:start w:val="1"/>
      <w:numFmt w:val="decimal"/>
      <w:lvlText w:val="%1."/>
      <w:lvlJc w:val="right"/>
      <w:pPr>
        <w:ind w:left="720" w:firstLine="13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67CF451C"/>
    <w:multiLevelType w:val="multilevel"/>
    <w:tmpl w:val="31561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BE03698"/>
    <w:multiLevelType w:val="multilevel"/>
    <w:tmpl w:val="362A6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496C54"/>
    <w:multiLevelType w:val="multilevel"/>
    <w:tmpl w:val="4F920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8724115">
    <w:abstractNumId w:val="4"/>
  </w:num>
  <w:num w:numId="2" w16cid:durableId="535507672">
    <w:abstractNumId w:val="7"/>
  </w:num>
  <w:num w:numId="3" w16cid:durableId="1471554662">
    <w:abstractNumId w:val="6"/>
  </w:num>
  <w:num w:numId="4" w16cid:durableId="1653560326">
    <w:abstractNumId w:val="5"/>
  </w:num>
  <w:num w:numId="5" w16cid:durableId="420835328">
    <w:abstractNumId w:val="0"/>
  </w:num>
  <w:num w:numId="6" w16cid:durableId="2145464278">
    <w:abstractNumId w:val="8"/>
  </w:num>
  <w:num w:numId="7" w16cid:durableId="661008885">
    <w:abstractNumId w:val="1"/>
  </w:num>
  <w:num w:numId="8" w16cid:durableId="135025844">
    <w:abstractNumId w:val="2"/>
  </w:num>
  <w:num w:numId="9" w16cid:durableId="189242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CA"/>
    <w:rsid w:val="003F22F1"/>
    <w:rsid w:val="007F214E"/>
    <w:rsid w:val="008062CA"/>
    <w:rsid w:val="00A6302B"/>
    <w:rsid w:val="00F63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746F"/>
  <w15:docId w15:val="{B6C78417-C030-4A72-84AD-17587C6E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he-IL"/>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68"/>
    <w:rPr>
      <w:rFonts w:cstheme="minorHAnsi"/>
    </w:rPr>
  </w:style>
  <w:style w:type="paragraph" w:styleId="Heading1">
    <w:name w:val="heading 1"/>
    <w:basedOn w:val="Normal"/>
    <w:next w:val="Normal"/>
    <w:link w:val="Heading1Char"/>
    <w:uiPriority w:val="9"/>
    <w:qFormat/>
    <w:rsid w:val="00A6302B"/>
    <w:pPr>
      <w:spacing w:before="0" w:line="312" w:lineRule="auto"/>
      <w:outlineLvl w:val="0"/>
    </w:pPr>
    <w:rPr>
      <w:rFonts w:ascii="Cambria" w:eastAsia="Cambria" w:hAnsi="Cambria" w:cs="Cambria"/>
      <w:b/>
      <w:sz w:val="24"/>
      <w:szCs w:val="24"/>
    </w:rPr>
  </w:style>
  <w:style w:type="paragraph" w:styleId="Heading2">
    <w:name w:val="heading 2"/>
    <w:basedOn w:val="Normal"/>
    <w:next w:val="Normal"/>
    <w:link w:val="Heading2Char"/>
    <w:uiPriority w:val="9"/>
    <w:unhideWhenUsed/>
    <w:qFormat/>
    <w:rsid w:val="00A6302B"/>
    <w:pPr>
      <w:pBdr>
        <w:top w:val="nil"/>
        <w:left w:val="nil"/>
        <w:bottom w:val="nil"/>
        <w:right w:val="nil"/>
        <w:between w:val="nil"/>
      </w:pBdr>
      <w:spacing w:before="280" w:after="80" w:line="311" w:lineRule="auto"/>
      <w:ind w:left="1520" w:hanging="760"/>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0368"/>
    <w:pPr>
      <w:pBdr>
        <w:bottom w:val="single" w:sz="8" w:space="4" w:color="F03741" w:themeColor="accent1"/>
      </w:pBdr>
      <w:spacing w:before="0" w:after="300" w:line="240" w:lineRule="auto"/>
      <w:contextualSpacing/>
    </w:pPr>
    <w:rPr>
      <w:rFonts w:eastAsiaTheme="majorEastAsia" w:cstheme="majorBidi"/>
      <w:color w:val="CD0F19" w:themeColor="text2" w:themeShade="BF"/>
      <w:spacing w:val="5"/>
      <w:kern w:val="28"/>
      <w:sz w:val="52"/>
      <w:szCs w:val="52"/>
    </w:rPr>
  </w:style>
  <w:style w:type="table" w:customStyle="1" w:styleId="TableNormal1">
    <w:name w:val="Table Normal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500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0EC"/>
    <w:rPr>
      <w:rFonts w:ascii="Tahoma" w:hAnsi="Tahoma" w:cs="Tahoma"/>
      <w:sz w:val="16"/>
      <w:szCs w:val="16"/>
    </w:rPr>
  </w:style>
  <w:style w:type="paragraph" w:styleId="Header">
    <w:name w:val="header"/>
    <w:basedOn w:val="Normal"/>
    <w:link w:val="HeaderChar"/>
    <w:uiPriority w:val="99"/>
    <w:unhideWhenUsed/>
    <w:rsid w:val="006500EC"/>
    <w:pPr>
      <w:tabs>
        <w:tab w:val="center" w:pos="4536"/>
        <w:tab w:val="right" w:pos="9072"/>
      </w:tabs>
      <w:spacing w:line="240" w:lineRule="auto"/>
    </w:pPr>
  </w:style>
  <w:style w:type="character" w:customStyle="1" w:styleId="HeaderChar">
    <w:name w:val="Header Char"/>
    <w:basedOn w:val="DefaultParagraphFont"/>
    <w:link w:val="Header"/>
    <w:uiPriority w:val="99"/>
    <w:rsid w:val="006500EC"/>
  </w:style>
  <w:style w:type="paragraph" w:styleId="Footer">
    <w:name w:val="footer"/>
    <w:basedOn w:val="Normal"/>
    <w:link w:val="FooterChar"/>
    <w:uiPriority w:val="99"/>
    <w:unhideWhenUsed/>
    <w:rsid w:val="00BB0368"/>
    <w:pPr>
      <w:tabs>
        <w:tab w:val="center" w:pos="4536"/>
        <w:tab w:val="right" w:pos="9072"/>
      </w:tabs>
      <w:spacing w:line="240" w:lineRule="auto"/>
    </w:pPr>
    <w:rPr>
      <w:sz w:val="16"/>
    </w:rPr>
  </w:style>
  <w:style w:type="character" w:customStyle="1" w:styleId="FooterChar">
    <w:name w:val="Footer Char"/>
    <w:basedOn w:val="DefaultParagraphFont"/>
    <w:link w:val="Footer"/>
    <w:uiPriority w:val="99"/>
    <w:rsid w:val="00BB0368"/>
    <w:rPr>
      <w:rFonts w:ascii="Calibri" w:hAnsi="Calibri" w:cstheme="minorHAnsi"/>
      <w:sz w:val="16"/>
    </w:rPr>
  </w:style>
  <w:style w:type="table" w:styleId="TableGrid">
    <w:name w:val="Table Grid"/>
    <w:basedOn w:val="TableNormal"/>
    <w:uiPriority w:val="59"/>
    <w:rsid w:val="006500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al"/>
    <w:uiPriority w:val="99"/>
    <w:rsid w:val="00BB0368"/>
    <w:pPr>
      <w:autoSpaceDE w:val="0"/>
      <w:autoSpaceDN w:val="0"/>
      <w:adjustRightInd w:val="0"/>
      <w:spacing w:line="288" w:lineRule="auto"/>
      <w:textAlignment w:val="center"/>
    </w:pPr>
    <w:rPr>
      <w:rFonts w:cs="Minion Pro"/>
      <w:color w:val="000000"/>
      <w:sz w:val="24"/>
      <w:szCs w:val="24"/>
    </w:rPr>
  </w:style>
  <w:style w:type="paragraph" w:customStyle="1" w:styleId="Zpat1">
    <w:name w:val="Zápatí1"/>
    <w:basedOn w:val="Footer"/>
    <w:link w:val="ZpatChar"/>
    <w:qFormat/>
    <w:rsid w:val="00BB0368"/>
    <w:pPr>
      <w:spacing w:before="0"/>
      <w:jc w:val="right"/>
    </w:pPr>
    <w:rPr>
      <w:szCs w:val="16"/>
    </w:rPr>
  </w:style>
  <w:style w:type="character" w:customStyle="1" w:styleId="ZpatChar">
    <w:name w:val="Zápatí Char"/>
    <w:basedOn w:val="FooterChar"/>
    <w:link w:val="Zpat1"/>
    <w:rsid w:val="00BB0368"/>
    <w:rPr>
      <w:rFonts w:ascii="Calibri" w:hAnsi="Calibri" w:cstheme="minorHAnsi"/>
      <w:sz w:val="16"/>
      <w:szCs w:val="16"/>
    </w:rPr>
  </w:style>
  <w:style w:type="character" w:customStyle="1" w:styleId="Heading1Char">
    <w:name w:val="Heading 1 Char"/>
    <w:basedOn w:val="DefaultParagraphFont"/>
    <w:link w:val="Heading1"/>
    <w:uiPriority w:val="9"/>
    <w:rsid w:val="00A6302B"/>
    <w:rPr>
      <w:rFonts w:ascii="Cambria" w:eastAsia="Cambria" w:hAnsi="Cambria" w:cs="Cambria"/>
      <w:b/>
      <w:sz w:val="24"/>
      <w:szCs w:val="24"/>
    </w:rPr>
  </w:style>
  <w:style w:type="character" w:customStyle="1" w:styleId="Heading2Char">
    <w:name w:val="Heading 2 Char"/>
    <w:basedOn w:val="DefaultParagraphFont"/>
    <w:link w:val="Heading2"/>
    <w:uiPriority w:val="9"/>
    <w:rsid w:val="00A6302B"/>
    <w:rPr>
      <w:rFonts w:ascii="Cambria" w:eastAsia="Cambria" w:hAnsi="Cambria" w:cs="Cambria"/>
      <w:b/>
      <w:color w:val="000000"/>
      <w:sz w:val="26"/>
      <w:szCs w:val="26"/>
    </w:rPr>
  </w:style>
  <w:style w:type="character" w:styleId="IntenseEmphasis">
    <w:name w:val="Intense Emphasis"/>
    <w:basedOn w:val="DefaultParagraphFont"/>
    <w:uiPriority w:val="21"/>
    <w:qFormat/>
    <w:rsid w:val="00BB0368"/>
    <w:rPr>
      <w:rFonts w:ascii="Calibri" w:hAnsi="Calibri"/>
      <w:b/>
      <w:bCs/>
      <w:i/>
      <w:iCs/>
      <w:color w:val="F03741" w:themeColor="accent1"/>
    </w:rPr>
  </w:style>
  <w:style w:type="character" w:customStyle="1" w:styleId="TitleChar">
    <w:name w:val="Title Char"/>
    <w:basedOn w:val="DefaultParagraphFont"/>
    <w:link w:val="Title"/>
    <w:uiPriority w:val="10"/>
    <w:rsid w:val="00BB0368"/>
    <w:rPr>
      <w:rFonts w:ascii="Calibri" w:eastAsiaTheme="majorEastAsia" w:hAnsi="Calibri" w:cstheme="majorBidi"/>
      <w:color w:val="CD0F19" w:themeColor="text2" w:themeShade="BF"/>
      <w:spacing w:val="5"/>
      <w:kern w:val="28"/>
      <w:sz w:val="52"/>
      <w:szCs w:val="52"/>
    </w:rPr>
  </w:style>
  <w:style w:type="paragraph" w:styleId="Subtitle">
    <w:name w:val="Subtitle"/>
    <w:basedOn w:val="Normal"/>
    <w:next w:val="Normal"/>
    <w:link w:val="SubtitleChar"/>
    <w:uiPriority w:val="11"/>
    <w:qFormat/>
    <w:pPr>
      <w:pBdr>
        <w:top w:val="nil"/>
        <w:left w:val="nil"/>
        <w:bottom w:val="nil"/>
        <w:right w:val="nil"/>
        <w:between w:val="nil"/>
      </w:pBdr>
    </w:pPr>
    <w:rPr>
      <w:i/>
      <w:color w:val="F03741"/>
      <w:sz w:val="24"/>
      <w:szCs w:val="24"/>
    </w:rPr>
  </w:style>
  <w:style w:type="character" w:customStyle="1" w:styleId="SubtitleChar">
    <w:name w:val="Subtitle Char"/>
    <w:basedOn w:val="DefaultParagraphFont"/>
    <w:link w:val="Subtitle"/>
    <w:uiPriority w:val="11"/>
    <w:rsid w:val="00BB0368"/>
    <w:rPr>
      <w:rFonts w:ascii="Calibri" w:eastAsiaTheme="majorEastAsia" w:hAnsi="Calibri" w:cstheme="majorBidi"/>
      <w:i/>
      <w:iCs/>
      <w:color w:val="F03741" w:themeColor="accent1"/>
      <w:spacing w:val="15"/>
      <w:sz w:val="24"/>
      <w:szCs w:val="24"/>
    </w:rPr>
  </w:style>
  <w:style w:type="character" w:styleId="SubtleEmphasis">
    <w:name w:val="Subtle Emphasis"/>
    <w:basedOn w:val="DefaultParagraphFont"/>
    <w:uiPriority w:val="19"/>
    <w:qFormat/>
    <w:rsid w:val="00BB0368"/>
    <w:rPr>
      <w:rFonts w:ascii="Calibri" w:hAnsi="Calibri"/>
      <w:i/>
      <w:iCs/>
      <w:color w:val="808080" w:themeColor="text1" w:themeTint="7F"/>
    </w:rPr>
  </w:style>
  <w:style w:type="character" w:styleId="Strong">
    <w:name w:val="Strong"/>
    <w:basedOn w:val="DefaultParagraphFont"/>
    <w:uiPriority w:val="22"/>
    <w:qFormat/>
    <w:rsid w:val="00BB0368"/>
    <w:rPr>
      <w:rFonts w:ascii="Calibri" w:hAnsi="Calibri"/>
      <w:b/>
      <w:bCs/>
    </w:rPr>
  </w:style>
  <w:style w:type="paragraph" w:styleId="Quote">
    <w:name w:val="Quote"/>
    <w:basedOn w:val="Normal"/>
    <w:next w:val="Normal"/>
    <w:link w:val="QuoteChar"/>
    <w:uiPriority w:val="29"/>
    <w:qFormat/>
    <w:rsid w:val="00BB0368"/>
    <w:rPr>
      <w:i/>
      <w:iCs/>
      <w:color w:val="000000" w:themeColor="text1"/>
    </w:rPr>
  </w:style>
  <w:style w:type="character" w:customStyle="1" w:styleId="QuoteChar">
    <w:name w:val="Quote Char"/>
    <w:basedOn w:val="DefaultParagraphFont"/>
    <w:link w:val="Quote"/>
    <w:uiPriority w:val="29"/>
    <w:rsid w:val="00BB0368"/>
    <w:rPr>
      <w:rFonts w:ascii="Calibri" w:hAnsi="Calibri" w:cstheme="minorHAnsi"/>
      <w:i/>
      <w:iCs/>
      <w:color w:val="000000" w:themeColor="text1"/>
    </w:rPr>
  </w:style>
  <w:style w:type="paragraph" w:styleId="IntenseQuote">
    <w:name w:val="Intense Quote"/>
    <w:basedOn w:val="Normal"/>
    <w:next w:val="Normal"/>
    <w:link w:val="IntenseQuoteChar"/>
    <w:uiPriority w:val="30"/>
    <w:qFormat/>
    <w:rsid w:val="00BB0368"/>
    <w:pPr>
      <w:pBdr>
        <w:bottom w:val="single" w:sz="4" w:space="4" w:color="F03741" w:themeColor="accent1"/>
      </w:pBdr>
      <w:spacing w:before="200" w:after="280"/>
      <w:ind w:left="936" w:right="936"/>
    </w:pPr>
    <w:rPr>
      <w:b/>
      <w:bCs/>
      <w:i/>
      <w:iCs/>
      <w:color w:val="F03741" w:themeColor="accent1"/>
    </w:rPr>
  </w:style>
  <w:style w:type="character" w:customStyle="1" w:styleId="IntenseQuoteChar">
    <w:name w:val="Intense Quote Char"/>
    <w:basedOn w:val="DefaultParagraphFont"/>
    <w:link w:val="IntenseQuote"/>
    <w:uiPriority w:val="30"/>
    <w:rsid w:val="00BB0368"/>
    <w:rPr>
      <w:rFonts w:ascii="Calibri" w:hAnsi="Calibri" w:cstheme="minorHAnsi"/>
      <w:b/>
      <w:bCs/>
      <w:i/>
      <w:iCs/>
      <w:color w:val="F03741" w:themeColor="accent1"/>
    </w:rPr>
  </w:style>
  <w:style w:type="character" w:styleId="SubtleReference">
    <w:name w:val="Subtle Reference"/>
    <w:basedOn w:val="DefaultParagraphFont"/>
    <w:uiPriority w:val="31"/>
    <w:qFormat/>
    <w:rsid w:val="00BB0368"/>
    <w:rPr>
      <w:rFonts w:ascii="Calibri" w:hAnsi="Calibri"/>
      <w:smallCaps/>
      <w:color w:val="F9ADAD" w:themeColor="accent2"/>
      <w:u w:val="single"/>
    </w:rPr>
  </w:style>
  <w:style w:type="character" w:styleId="IntenseReference">
    <w:name w:val="Intense Reference"/>
    <w:basedOn w:val="DefaultParagraphFont"/>
    <w:uiPriority w:val="32"/>
    <w:qFormat/>
    <w:rsid w:val="00BB0368"/>
    <w:rPr>
      <w:rFonts w:ascii="Calibri" w:hAnsi="Calibri"/>
      <w:b/>
      <w:bCs/>
      <w:smallCaps/>
      <w:color w:val="F9ADAD" w:themeColor="accent2"/>
      <w:spacing w:val="5"/>
      <w:u w:val="single"/>
    </w:rPr>
  </w:style>
  <w:style w:type="character" w:styleId="BookTitle">
    <w:name w:val="Book Title"/>
    <w:basedOn w:val="DefaultParagraphFont"/>
    <w:uiPriority w:val="33"/>
    <w:qFormat/>
    <w:rsid w:val="00BB0368"/>
    <w:rPr>
      <w:rFonts w:ascii="Calibri" w:hAnsi="Calibri"/>
      <w:b/>
      <w:bCs/>
      <w:smallCaps/>
      <w:spacing w:val="5"/>
    </w:rPr>
  </w:style>
  <w:style w:type="paragraph" w:styleId="ListParagraph">
    <w:name w:val="List Paragraph"/>
    <w:basedOn w:val="Normal"/>
    <w:uiPriority w:val="34"/>
    <w:qFormat/>
    <w:rsid w:val="00BB0368"/>
    <w:pPr>
      <w:ind w:left="720"/>
      <w:contextualSpacing/>
    </w:pPr>
  </w:style>
  <w:style w:type="character" w:styleId="Emphasis">
    <w:name w:val="Emphasis"/>
    <w:basedOn w:val="DefaultParagraphFont"/>
    <w:uiPriority w:val="20"/>
    <w:qFormat/>
    <w:rsid w:val="008C7C4A"/>
    <w:rPr>
      <w:rFonts w:ascii="Calibri" w:hAnsi="Calibri"/>
      <w:i/>
      <w:iCs/>
    </w:rPr>
  </w:style>
  <w:style w:type="table" w:customStyle="1" w:styleId="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b">
    <w:basedOn w:val="TableNormal1"/>
    <w:pPr>
      <w:spacing w:line="240" w:lineRule="auto"/>
    </w:pPr>
    <w:rPr>
      <w:color w:val="00000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theme="minorHAnsi"/>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CF4DF7"/>
    <w:rPr>
      <w:b/>
      <w:bCs/>
    </w:rPr>
  </w:style>
  <w:style w:type="character" w:customStyle="1" w:styleId="CommentSubjectChar">
    <w:name w:val="Comment Subject Char"/>
    <w:basedOn w:val="CommentTextChar"/>
    <w:link w:val="CommentSubject"/>
    <w:uiPriority w:val="99"/>
    <w:semiHidden/>
    <w:rsid w:val="00CF4DF7"/>
    <w:rPr>
      <w:rFonts w:cstheme="minorHAnsi"/>
      <w:b/>
      <w:bCs/>
    </w:rPr>
  </w:style>
  <w:style w:type="table" w:customStyle="1" w:styleId="a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b">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b">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7">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8">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9">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a">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b">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c">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d">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e">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0">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1">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2">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3">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4">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5">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6">
    <w:basedOn w:val="TableNormal1"/>
    <w:pPr>
      <w:spacing w:line="240" w:lineRule="auto"/>
    </w:pPr>
    <w:rPr>
      <w:color w:val="000000"/>
    </w:rPr>
    <w:tblPr>
      <w:tblStyleRowBandSize w:val="1"/>
      <w:tblStyleColBandSize w:val="1"/>
      <w:tblCellMar>
        <w:left w:w="115" w:type="dxa"/>
        <w:right w:w="115" w:type="dxa"/>
      </w:tblCellMar>
    </w:tblPr>
  </w:style>
  <w:style w:type="table" w:customStyle="1" w:styleId="affff7">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fff8">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fff9">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fffa">
    <w:basedOn w:val="TableNormal"/>
    <w:pPr>
      <w:spacing w:line="240" w:lineRule="auto"/>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acr.cz/en/delta-2-programme/" TargetMode="External"/><Relationship Id="rId13" Type="http://schemas.openxmlformats.org/officeDocument/2006/relationships/hyperlink" Target="https://tacr.cz/hes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cr.cz/en/delta-2-program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novationisrael.org.il/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r.cz/program/program-delta-2" TargetMode="External"/><Relationship Id="rId5" Type="http://schemas.openxmlformats.org/officeDocument/2006/relationships/webSettings" Target="webSettings.xml"/><Relationship Id="rId15" Type="http://schemas.openxmlformats.org/officeDocument/2006/relationships/hyperlink" Target="http://www.tacr.cz" TargetMode="External"/><Relationship Id="rId10" Type="http://schemas.openxmlformats.org/officeDocument/2006/relationships/hyperlink" Target="https://innovationisrael.org.il/node/2763/maslul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vationisrael.org.il/node/2763/maslulim" TargetMode="External"/><Relationship Id="rId14" Type="http://schemas.openxmlformats.org/officeDocument/2006/relationships/hyperlink" Target="https://innovationisrael.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AČR prezentace">
  <a:themeElements>
    <a:clrScheme name="TAČR červené">
      <a:dk1>
        <a:sysClr val="windowText" lastClr="000000"/>
      </a:dk1>
      <a:lt1>
        <a:sysClr val="window" lastClr="FFFFFF"/>
      </a:lt1>
      <a:dk2>
        <a:srgbClr val="F03741"/>
      </a:dk2>
      <a:lt2>
        <a:srgbClr val="F9ADAD"/>
      </a:lt2>
      <a:accent1>
        <a:srgbClr val="F03741"/>
      </a:accent1>
      <a:accent2>
        <a:srgbClr val="F9ADAD"/>
      </a:accent2>
      <a:accent3>
        <a:srgbClr val="FBD1D3"/>
      </a:accent3>
      <a:accent4>
        <a:srgbClr val="595959"/>
      </a:accent4>
      <a:accent5>
        <a:srgbClr val="7F7F7F"/>
      </a:accent5>
      <a:accent6>
        <a:srgbClr val="A5A5A5"/>
      </a:accent6>
      <a:hlink>
        <a:srgbClr val="D8D8D8"/>
      </a:hlink>
      <a:folHlink>
        <a:srgbClr val="F2F2F2"/>
      </a:folHlink>
    </a:clrScheme>
    <a:fontScheme name="TAČR1">
      <a:majorFont>
        <a:latin typeface="Cambria"/>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Qvr/MphpD4j0isfNfDG5UiogYg==">AMUW2mWCk4ctEzdJRPcAGPfxpH06C9zgDzEbXE2ZVDgyhynscOG1SlGcOWs3qFy83guUohINpcYysJklf1VSMjdikY5vJnitxITVYc+bBNzpllq6dePJTn9EI57dPCa2ftSle8kyh6sdS9teOqXOTn6p/yCM/4koM5mToLR+IsguQe/nnZ2zdJDSfDcSyWH00e2KJ6OIxp6AdCJRDyNf4nqRiP45j+ZK3jbIsdkrDH3dAGYCr101BJ5DAyeC+p0Nl3sSHH9DPOvR7xBqR1NeQtaAi+iNdbzoH1rJaCSMjAZY+t88/xr68fmDdM7Ha1rqpSVVA67pb+yGaT0FokAkDcYj2NAUikoy3bkF9iShnqwrVTDZmGOdk8KUJiApSeKtH88WLlWnApy273OoXfxyChLdRLZ2me7Yxn4+mEk84e8ryFTcD2MjBxXrP5e6fTzvYRX9QmtoeR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2075</Words>
  <Characters>11831</Characters>
  <Application>Microsoft Office Word</Application>
  <DocSecurity>0</DocSecurity>
  <Lines>98</Lines>
  <Paragraphs>27</Paragraphs>
  <ScaleCrop>false</ScaleCrop>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Rollerová</dc:creator>
  <cp:lastModifiedBy>Sean Baharav</cp:lastModifiedBy>
  <cp:revision>2</cp:revision>
  <dcterms:created xsi:type="dcterms:W3CDTF">2023-05-28T14:38:00Z</dcterms:created>
  <dcterms:modified xsi:type="dcterms:W3CDTF">2023-05-28T14:38:00Z</dcterms:modified>
</cp:coreProperties>
</file>