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12FC" w14:textId="77777777" w:rsidR="009B5CAA" w:rsidRPr="00A36F9F" w:rsidRDefault="009B5CAA" w:rsidP="0046315E">
      <w:pPr>
        <w:pStyle w:val="a6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val="en-US" w:eastAsia="zh-TW"/>
        </w:rPr>
      </w:pPr>
    </w:p>
    <w:p w14:paraId="03ED0359" w14:textId="1CC0591C" w:rsidR="004976DF" w:rsidRPr="00920E2D" w:rsidRDefault="001F2D03" w:rsidP="0046315E">
      <w:pPr>
        <w:pStyle w:val="a6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a6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Israel, and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330A9A7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at least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005DCCE3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At least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one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relevant IPR requirements under the respective government funding 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***</w:t>
      </w:r>
    </w:p>
    <w:p w14:paraId="7143DAFC" w14:textId="145AC2F1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lastRenderedPageBreak/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 xml:space="preserve">Any partner whose cooperative R&amp;D 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meets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not be a government subvented organisation or subsidiary of any government subvented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2B7AAEB5" w:rsidR="00510D00" w:rsidRPr="00920E2D" w:rsidRDefault="009A5F5C" w:rsidP="0046315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up to HK$10 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Government contribution is not required.</w:t>
      </w:r>
    </w:p>
    <w:p w14:paraId="3B7F9EB9" w14:textId="4D355F73" w:rsidR="0046315E" w:rsidRPr="00920E2D" w:rsidRDefault="0046315E" w:rsidP="004D7AB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0671C964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June</w:t>
      </w:r>
      <w:r w:rsidR="00740E39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21</w:t>
      </w:r>
      <w:r w:rsidR="00FC35AA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,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2023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22EB08D1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r w:rsidR="00B5030C">
        <w:rPr>
          <w:rFonts w:asciiTheme="minorHAnsi" w:hAnsiTheme="minorHAnsi" w:cstheme="minorHAnsi"/>
          <w:color w:val="000000"/>
          <w:sz w:val="22"/>
          <w:szCs w:val="22"/>
        </w:rPr>
        <w:t>June</w:t>
      </w:r>
      <w:r w:rsidR="00740E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030C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5030C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The successful projects will be jointly selected by the two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aa"/>
        <w:tblW w:w="9152" w:type="dxa"/>
        <w:tblLook w:val="04A0" w:firstRow="1" w:lastRow="0" w:firstColumn="1" w:lastColumn="0" w:noHBand="0" w:noVBand="1"/>
        <w:tblCaption w:val="timeline"/>
        <w:tblDescription w:val="Launch February 1, 2023&#10;Application Submission Deadline June 212023, &#10;Notification of Results September / October 2023&#10;"/>
      </w:tblPr>
      <w:tblGrid>
        <w:gridCol w:w="3964"/>
        <w:gridCol w:w="5188"/>
      </w:tblGrid>
      <w:tr w:rsidR="00812F37" w:rsidRPr="00920E2D" w14:paraId="3C14F19C" w14:textId="77777777" w:rsidTr="00A36F9F">
        <w:trPr>
          <w:trHeight w:val="288"/>
          <w:tblHeader/>
        </w:trPr>
        <w:tc>
          <w:tcPr>
            <w:tcW w:w="3964" w:type="dxa"/>
          </w:tcPr>
          <w:p w14:paraId="60EF1249" w14:textId="77777777" w:rsidR="00812F37" w:rsidRPr="002B25D6" w:rsidRDefault="00812F37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5188" w:type="dxa"/>
          </w:tcPr>
          <w:p w14:paraId="05161AF6" w14:textId="47025685" w:rsidR="00812F37" w:rsidRPr="00B5030C" w:rsidRDefault="00812F37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F94F5C">
              <w:rPr>
                <w:rFonts w:asciiTheme="minorHAnsi" w:hAnsiTheme="minorHAnsi" w:cstheme="minorHAnsi"/>
                <w:b/>
                <w:bCs/>
              </w:rPr>
              <w:t xml:space="preserve">February </w:t>
            </w:r>
            <w:r w:rsidRPr="00F94F5C">
              <w:rPr>
                <w:rFonts w:asciiTheme="minorHAnsi" w:hAnsiTheme="minorHAnsi" w:cstheme="minorHAnsi"/>
                <w:b/>
                <w:bCs/>
                <w:rtl/>
                <w:lang w:bidi="he-IL"/>
              </w:rPr>
              <w:t>1</w:t>
            </w:r>
            <w:r w:rsidRPr="00F94F5C">
              <w:rPr>
                <w:rFonts w:asciiTheme="minorHAnsi" w:hAnsiTheme="minorHAnsi" w:cstheme="minorHAnsi"/>
                <w:b/>
                <w:bCs/>
              </w:rPr>
              <w:t>, 202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3</w:t>
            </w:r>
          </w:p>
        </w:tc>
      </w:tr>
      <w:tr w:rsidR="00812F37" w:rsidRPr="00920E2D" w14:paraId="341F0A2C" w14:textId="77777777" w:rsidTr="008E42B8">
        <w:trPr>
          <w:trHeight w:val="329"/>
        </w:trPr>
        <w:tc>
          <w:tcPr>
            <w:tcW w:w="3964" w:type="dxa"/>
            <w:vAlign w:val="center"/>
          </w:tcPr>
          <w:p w14:paraId="0A85C7E4" w14:textId="77777777" w:rsidR="00812F37" w:rsidRPr="002B25D6" w:rsidRDefault="00812F37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6E46FB2E" w14:textId="3FC391C8" w:rsidR="00812F37" w:rsidRPr="00B5030C" w:rsidRDefault="00812F37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r w:rsidRPr="00873DF2">
              <w:rPr>
                <w:rFonts w:asciiTheme="minorHAnsi" w:hAnsiTheme="minorHAnsi" w:cstheme="minorHAnsi"/>
                <w:b/>
                <w:bCs/>
              </w:rPr>
              <w:t>June 21</w:t>
            </w:r>
            <w:r w:rsidRPr="00873DF2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2023,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 xml:space="preserve"> </w:t>
            </w:r>
          </w:p>
        </w:tc>
      </w:tr>
      <w:tr w:rsidR="00812F37" w:rsidRPr="00920E2D" w14:paraId="45BB1EB4" w14:textId="77777777" w:rsidTr="005540B0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812F37" w:rsidRPr="002B25D6" w:rsidRDefault="00812F37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</w:tcPr>
          <w:p w14:paraId="21C60BB0" w14:textId="440ADC20" w:rsidR="00812F37" w:rsidRPr="002B25D6" w:rsidRDefault="00812F37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F94F5C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September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 xml:space="preserve"> </w:t>
            </w:r>
            <w:r w:rsidRPr="009B1162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 xml:space="preserve"> </w:t>
            </w:r>
            <w:r w:rsidRPr="009B1162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October</w:t>
            </w:r>
            <w:r w:rsidRPr="00F94F5C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  <w:lang w:val="en-US" w:bidi="he-IL"/>
              </w:rPr>
              <w:t xml:space="preserve"> </w:t>
            </w:r>
            <w:r w:rsidRPr="00F94F5C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2023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5FEC512C" w:rsidR="00F9186B" w:rsidRPr="008F2501" w:rsidRDefault="00A36F9F" w:rsidP="0046315E">
      <w:pPr>
        <w:rPr>
          <w:rFonts w:ascii="Segoe UI" w:hAnsi="Segoe UI" w:cs="Segoe UI"/>
          <w:sz w:val="22"/>
          <w:szCs w:val="22"/>
        </w:rPr>
      </w:pPr>
      <w:bookmarkStart w:id="4" w:name="_GoBack"/>
      <w:r>
        <w:rPr>
          <w:rFonts w:ascii="Segoe UI" w:hAnsi="Segoe UI" w:cs="Segoe UI"/>
          <w:noProof/>
          <w:sz w:val="22"/>
          <w:szCs w:val="22"/>
          <w:lang w:val="en-US" w:eastAsia="en-US" w:bidi="he-IL"/>
        </w:rPr>
        <mc:AlternateContent>
          <mc:Choice Requires="wpg">
            <w:drawing>
              <wp:inline distT="0" distB="0" distL="0" distR="0" wp14:anchorId="1D766ED7" wp14:editId="75249064">
                <wp:extent cx="5571490" cy="2025650"/>
                <wp:effectExtent l="0" t="0" r="10160" b="12700"/>
                <wp:docPr id="28" name="קבוצה 28" descr="contects information honkong and israel&#10;" title="contect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1490" cy="2025650"/>
                          <a:chOff x="0" y="0"/>
                          <a:chExt cx="5571490" cy="2025650"/>
                        </a:xfrm>
                      </wpg:grpSpPr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71775" y="0"/>
                            <a:ext cx="2799715" cy="202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71DB07" w14:textId="1E527E22" w:rsidR="00744908" w:rsidRPr="00AF698E" w:rsidRDefault="00AF698E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F698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Israel</w:t>
                              </w:r>
                            </w:p>
                            <w:p w14:paraId="498360C5" w14:textId="2B8051E0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</w:p>
                            <w:p w14:paraId="502440D4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For Israeli Companies:</w:t>
                              </w:r>
                            </w:p>
                            <w:p w14:paraId="19D7E800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 Division</w:t>
                              </w:r>
                            </w:p>
                            <w:p w14:paraId="0AEBF975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Israel Innovation Authority </w:t>
                              </w:r>
                            </w:p>
                            <w:p w14:paraId="19CDAC7D" w14:textId="600C849A" w:rsid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Email: </w:t>
                              </w:r>
                              <w:hyperlink r:id="rId13" w:history="1">
                                <w:r w:rsidR="00AC7EC9" w:rsidRPr="00906E9B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fr-CA" w:bidi="he-IL"/>
                                  </w:rPr>
                                  <w:t>growth@innovationisrael.org.il</w:t>
                                </w:r>
                              </w:hyperlink>
                            </w:p>
                            <w:p w14:paraId="6C008C8F" w14:textId="77777777" w:rsidR="00AC7EC9" w:rsidRPr="002B3CB1" w:rsidRDefault="00AC7EC9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</w:p>
                            <w:p w14:paraId="025EE69E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For Foreign Companies:</w:t>
                              </w:r>
                            </w:p>
                            <w:p w14:paraId="0DC1FF83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International Collaboration Division</w:t>
                              </w:r>
                            </w:p>
                            <w:p w14:paraId="6673FC56" w14:textId="77777777" w:rsidR="002B3CB1" w:rsidRPr="002B3CB1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Israel Innovation Authority </w:t>
                              </w:r>
                            </w:p>
                            <w:p w14:paraId="621AD8BC" w14:textId="2B7379A9" w:rsidR="00754B54" w:rsidRDefault="002B3CB1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Email: </w:t>
                              </w:r>
                              <w:hyperlink r:id="rId14" w:history="1">
                                <w:r w:rsidR="00AC7EC9" w:rsidRPr="00906E9B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fr-CA" w:bidi="he-IL"/>
                                  </w:rPr>
                                  <w:t>apac@innovationisrael.org.il</w:t>
                                </w:r>
                              </w:hyperlink>
                            </w:p>
                            <w:p w14:paraId="3F70B5CA" w14:textId="77777777" w:rsidR="00AC7EC9" w:rsidRPr="002B3CB1" w:rsidRDefault="00AC7EC9" w:rsidP="002B3CB1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60015" cy="202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37545" w14:textId="77777777" w:rsidR="00744908" w:rsidRPr="004D7ABE" w:rsidRDefault="003850AC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4D7AB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Hong Kong</w:t>
                              </w:r>
                            </w:p>
                            <w:p w14:paraId="42D6B880" w14:textId="77777777" w:rsidR="00744908" w:rsidRPr="004D7ABE" w:rsidRDefault="00744908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  <w:p w14:paraId="1C112E0B" w14:textId="18F78EE2" w:rsidR="00873DF2" w:rsidRDefault="00873DF2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For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Hong Kong</w:t>
                              </w:r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 xml:space="preserve"> </w:t>
                              </w:r>
                              <w:proofErr w:type="spellStart"/>
                              <w:r w:rsidRPr="002B3CB1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7E0AEA68" w14:textId="05DBF9E3" w:rsidR="005430D9" w:rsidRPr="004D7ABE" w:rsidRDefault="009E0579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287AC5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Enterprise Support Scheme Secretariat</w:t>
                              </w:r>
                            </w:p>
                            <w:p w14:paraId="03CF86FB" w14:textId="72707817" w:rsidR="005430D9" w:rsidRPr="00FC530D" w:rsidRDefault="00B92709" w:rsidP="00740CE0">
                              <w:pPr>
                                <w:pStyle w:val="a8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hyperlink r:id="rId15" w:history="1">
                                <w:r w:rsidR="005430D9" w:rsidRPr="0098565A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  <w:szCs w:val="22"/>
                                    <w:lang w:val="fr-CA"/>
                                  </w:rPr>
                                  <w:t>Innovation &amp; Technology Commission</w:t>
                                </w:r>
                              </w:hyperlink>
                            </w:p>
                            <w:p w14:paraId="4089E19B" w14:textId="77777777" w:rsidR="002114EC" w:rsidRDefault="002114EC" w:rsidP="00747900">
                              <w:pPr>
                                <w:pStyle w:val="af2"/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  <w:p w14:paraId="07F83537" w14:textId="321E2861" w:rsidR="00747900" w:rsidRDefault="00747900" w:rsidP="00747900">
                              <w:pPr>
                                <w:pStyle w:val="af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4D7ABE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 xml:space="preserve">Tel: +852 </w:t>
                              </w:r>
                              <w:r w:rsidR="009E0579" w:rsidRPr="004D7ABE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>3422</w:t>
                              </w:r>
                              <w:r w:rsidR="009E0579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 xml:space="preserve"> </w:t>
                              </w:r>
                              <w:r w:rsidR="009E0579" w:rsidRPr="004D7ABE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>370</w:t>
                              </w:r>
                              <w:r w:rsidR="009E0579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>0</w:t>
                              </w:r>
                            </w:p>
                            <w:p w14:paraId="69F60094" w14:textId="602DC650" w:rsidR="009B1162" w:rsidRPr="004D7ABE" w:rsidRDefault="009B1162" w:rsidP="00747900">
                              <w:pPr>
                                <w:pStyle w:val="af2"/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rtl/>
                                  <w:lang w:eastAsia="zh-TW"/>
                                </w:rPr>
                              </w:pPr>
                              <w:r w:rsidRPr="004D7ABE">
                                <w:rPr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 xml:space="preserve">Email: </w:t>
                              </w:r>
                              <w:hyperlink r:id="rId16" w:history="1">
                                <w:r w:rsidR="009E0579" w:rsidRPr="009E0579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ess@itc.gov.hk</w:t>
                                </w:r>
                              </w:hyperlink>
                            </w:p>
                            <w:p w14:paraId="4000F57F" w14:textId="05C67C99" w:rsidR="00744908" w:rsidRPr="002114EC" w:rsidRDefault="00744908" w:rsidP="00873DF2">
                              <w:pPr>
                                <w:pStyle w:val="af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66ED7" id="קבוצה 28" o:spid="_x0000_s1026" alt="כותרת: contects - תיאור: contects information honkong and israel&#10;" style="width:438.7pt;height:159.5pt;mso-position-horizontal-relative:char;mso-position-vertical-relative:line" coordsize="55714,2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rK9AIAAJ4IAAAOAAAAZHJzL2Uyb0RvYy54bWzslt1u0zAUx++ReAfLSNyxfKht1rB0Ghub&#10;kAZM2ngA13ESa45tbLfJeAskeAV4pL4Ox07XTt0Q0hCCC3KRxl/Hx7//Pyc9OOxbgZbMWK5kgZO9&#10;GCMmqSq5rAv84er0xT5G1hFZEqEkK/ANs/hw9vTJQadzlqpGiZIZBEGkzTtd4MY5nUeRpQ1rid1T&#10;mkkYrJRpiYOmqaPSkA6ityJK43gSdcqU2ijKrIXek2EQz0L8qmLUva8qyxwSBYbcXLibcJ/7ezQ7&#10;IHltiG44XadBHpFFS7iETTehTogjaGH4vVAtp0ZZVbk9qtpIVRWnLJwBTpPEO6c5M2qhw1nqvKv1&#10;BhOg3eH06LD03fLCIF4WOAWlJGlBo9X31efV19W31RfkO0tmKRCjSjrAaRGXgxygOGqUvFayRiAw&#10;4tYQJp4/649eAmjuBIS6XeQ5d7rOYbszoy/1hVl31EPLo+sr0/pfgIL6oNDNRiHWO0ShczzOktEU&#10;hKQwlsbpeDJea0gbEPreOtq8/sXK6HbjyOe3SafT4Ee7RW5/D/llQzQLSlrPYI18dEv8yp/vlepR&#10;MhlIhVkeE3I99MObFdxl9bmi1xZJddwQWbMjY1TXMFJCeolfCYfYLPXEbW59kHn3VpUgB1k4FQLt&#10;sE6zLMmyMUb3iafZdJolMLRDfMON5NpYd8ZUi/xDgQ24JGxClufW+aS2U7y+VglennIhQsPU82Nh&#10;0JLAC3oarnCOnWlCoq7A03E6Hjj8NEQcrodCtNxBpRG8LfD+ZhLJPb3XsoQ0Se4IF8MzpCzkGqcn&#10;OLB0/bwPvrX5XJU3ANaooaJABYSHRplPGHVQTQpsPy6IYRiJNxLEmSajkS8/oTEaZyk0zN2R+d0R&#10;IimEKrDD8GL5x2M3lKyFNrxuYKfBDlIdgaAVD5C92ENW67zBvkPaf9zH4I6hcmx9PP0rPgaqDzh4&#10;Monj/w4O1cA7OFT7UC22lvn3jRzKM3wEQzlZf7D9V/ZuOxh/+7di9gMAAP//AwBQSwMEFAAGAAgA&#10;AAAhAJvzqV3eAAAABQEAAA8AAABkcnMvZG93bnJldi54bWxMj81qwzAQhO+FvoPYQG+N7KbNj2M5&#10;hND2FApJCiW3jbWxTayVsRTbefuqvbSXhWGGmW/T1WBq0VHrKssK4nEEgji3uuJCwefh7XEOwnlk&#10;jbVlUnAjB6vs/i7FRNued9TtfSFCCbsEFZTeN4mULi/JoBvbhjh4Z9sa9EG2hdQt9qHc1PIpiqbS&#10;YMVhocSGNiXll/3VKHjvsV9P4tduezlvbsfDy8fXNialHkbDegnC0+D/wvCDH9AhC0wne2XtRK0g&#10;POJ/b/Dms9kziJOCSbyIQGap/E+ffQMAAP//AwBQSwECLQAUAAYACAAAACEAtoM4kv4AAADhAQAA&#10;EwAAAAAAAAAAAAAAAAAAAAAAW0NvbnRlbnRfVHlwZXNdLnhtbFBLAQItABQABgAIAAAAIQA4/SH/&#10;1gAAAJQBAAALAAAAAAAAAAAAAAAAAC8BAABfcmVscy8ucmVsc1BLAQItABQABgAIAAAAIQCvCXrK&#10;9AIAAJ4IAAAOAAAAAAAAAAAAAAAAAC4CAABkcnMvZTJvRG9jLnhtbFBLAQItABQABgAIAAAAIQCb&#10;86ld3gAAAAU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27717;width:27997;height:20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A71DB07" w14:textId="1E527E22" w:rsidR="00744908" w:rsidRPr="00AF698E" w:rsidRDefault="00AF698E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AF698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>Israel</w:t>
                        </w:r>
                      </w:p>
                      <w:p w14:paraId="498360C5" w14:textId="2B8051E0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</w:p>
                      <w:p w14:paraId="502440D4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For Israeli Companies:</w:t>
                        </w:r>
                      </w:p>
                      <w:p w14:paraId="19D7E800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 Division</w:t>
                        </w:r>
                      </w:p>
                      <w:p w14:paraId="0AEBF975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Israel Innovation Authority </w:t>
                        </w:r>
                      </w:p>
                      <w:p w14:paraId="19CDAC7D" w14:textId="600C849A" w:rsid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Email: </w:t>
                        </w:r>
                        <w:hyperlink r:id="rId17" w:history="1">
                          <w:r w:rsidR="00AC7EC9" w:rsidRPr="00906E9B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  <w:lang w:val="fr-CA" w:bidi="he-IL"/>
                            </w:rPr>
                            <w:t>growth@innovationisrael.org.il</w:t>
                          </w:r>
                        </w:hyperlink>
                      </w:p>
                      <w:p w14:paraId="6C008C8F" w14:textId="77777777" w:rsidR="00AC7EC9" w:rsidRPr="002B3CB1" w:rsidRDefault="00AC7EC9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</w:p>
                      <w:p w14:paraId="025EE69E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For Foreign Companies:</w:t>
                        </w:r>
                      </w:p>
                      <w:p w14:paraId="0DC1FF83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International Collaboration Division</w:t>
                        </w:r>
                      </w:p>
                      <w:p w14:paraId="6673FC56" w14:textId="77777777" w:rsidR="002B3CB1" w:rsidRPr="002B3CB1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Israel Innovation Authority </w:t>
                        </w:r>
                      </w:p>
                      <w:p w14:paraId="621AD8BC" w14:textId="2B7379A9" w:rsidR="00754B54" w:rsidRDefault="002B3CB1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Email: </w:t>
                        </w:r>
                        <w:hyperlink r:id="rId18" w:history="1">
                          <w:r w:rsidR="00AC7EC9" w:rsidRPr="00906E9B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  <w:lang w:val="fr-CA" w:bidi="he-IL"/>
                            </w:rPr>
                            <w:t>apac@innovationisrael.org.il</w:t>
                          </w:r>
                        </w:hyperlink>
                      </w:p>
                      <w:p w14:paraId="3F70B5CA" w14:textId="77777777" w:rsidR="00AC7EC9" w:rsidRPr="002B3CB1" w:rsidRDefault="00AC7EC9" w:rsidP="002B3CB1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</w:pPr>
                      </w:p>
                    </w:txbxContent>
                  </v:textbox>
                </v:shape>
                <v:shape id="Text Box 19" o:spid="_x0000_s1028" type="#_x0000_t202" style="position:absolute;width:26600;height:20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3DA37545" w14:textId="77777777" w:rsidR="00744908" w:rsidRPr="004D7ABE" w:rsidRDefault="003850AC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4D7AB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>Hong Kong</w:t>
                        </w:r>
                      </w:p>
                      <w:p w14:paraId="42D6B880" w14:textId="77777777" w:rsidR="00744908" w:rsidRPr="004D7ABE" w:rsidRDefault="00744908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14:paraId="1C112E0B" w14:textId="18F78EE2" w:rsidR="00873DF2" w:rsidRDefault="00873DF2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For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Hong Kong</w:t>
                        </w:r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 xml:space="preserve"> </w:t>
                        </w:r>
                        <w:proofErr w:type="spellStart"/>
                        <w:r w:rsidRPr="002B3CB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Companies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:</w:t>
                        </w:r>
                      </w:p>
                      <w:p w14:paraId="7E0AEA68" w14:textId="05DBF9E3" w:rsidR="005430D9" w:rsidRPr="004D7ABE" w:rsidRDefault="009E0579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287AC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Enterprise Support Scheme Secretariat</w:t>
                        </w:r>
                      </w:p>
                      <w:p w14:paraId="03CF86FB" w14:textId="72707817" w:rsidR="005430D9" w:rsidRPr="00FC530D" w:rsidRDefault="00B92709" w:rsidP="00740CE0">
                        <w:pPr>
                          <w:pStyle w:val="a8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hyperlink r:id="rId19" w:history="1">
                          <w:r w:rsidR="005430D9" w:rsidRPr="0098565A">
                            <w:rPr>
                              <w:rStyle w:val="Hyperlink"/>
                              <w:rFonts w:ascii="Calibri" w:hAnsi="Calibri" w:cs="Calibri"/>
                              <w:sz w:val="22"/>
                              <w:szCs w:val="22"/>
                              <w:lang w:val="fr-CA"/>
                            </w:rPr>
                            <w:t>Innovation &amp; Technology Commission</w:t>
                          </w:r>
                        </w:hyperlink>
                      </w:p>
                      <w:p w14:paraId="4089E19B" w14:textId="77777777" w:rsidR="002114EC" w:rsidRDefault="002114EC" w:rsidP="00747900">
                        <w:pPr>
                          <w:pStyle w:val="af2"/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14:paraId="07F83537" w14:textId="321E2861" w:rsidR="00747900" w:rsidRDefault="00747900" w:rsidP="00747900">
                        <w:pPr>
                          <w:pStyle w:val="af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rtl/>
                          </w:rPr>
                        </w:pPr>
                        <w:r w:rsidRPr="004D7ABE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 xml:space="preserve">Tel: +852 </w:t>
                        </w:r>
                        <w:r w:rsidR="009E0579" w:rsidRPr="004D7ABE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>3422</w:t>
                        </w:r>
                        <w:r w:rsidR="009E0579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 xml:space="preserve"> </w:t>
                        </w:r>
                        <w:r w:rsidR="009E0579" w:rsidRPr="004D7ABE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>370</w:t>
                        </w:r>
                        <w:r w:rsidR="009E0579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>0</w:t>
                        </w:r>
                      </w:p>
                      <w:p w14:paraId="69F60094" w14:textId="602DC650" w:rsidR="009B1162" w:rsidRPr="004D7ABE" w:rsidRDefault="009B1162" w:rsidP="00747900">
                        <w:pPr>
                          <w:pStyle w:val="af2"/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rtl/>
                            <w:lang w:eastAsia="zh-TW"/>
                          </w:rPr>
                        </w:pPr>
                        <w:r w:rsidRPr="004D7ABE">
                          <w:rPr>
                            <w:rFonts w:asciiTheme="minorHAnsi" w:eastAsia="PMingLiU" w:hAnsiTheme="minorHAnsi" w:cstheme="minorHAnsi"/>
                            <w:sz w:val="22"/>
                            <w:szCs w:val="22"/>
                            <w:lang w:eastAsia="zh-TW"/>
                          </w:rPr>
                          <w:t xml:space="preserve">Email: </w:t>
                        </w:r>
                        <w:hyperlink r:id="rId20" w:history="1">
                          <w:r w:rsidR="009E0579" w:rsidRPr="009E0579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ess@itc.gov.hk</w:t>
                          </w:r>
                        </w:hyperlink>
                      </w:p>
                      <w:p w14:paraId="4000F57F" w14:textId="05C67C99" w:rsidR="00744908" w:rsidRPr="002114EC" w:rsidRDefault="00744908" w:rsidP="00873DF2">
                        <w:pPr>
                          <w:pStyle w:val="af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bookmarkEnd w:id="4"/>
    </w:p>
    <w:sectPr w:rsidR="00F9186B" w:rsidRPr="008F2501" w:rsidSect="00A36F9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21" w:right="1418" w:bottom="1440" w:left="1531" w:header="709" w:footer="80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7421" w14:textId="77777777" w:rsidR="00B92709" w:rsidRDefault="00B92709">
      <w:r>
        <w:separator/>
      </w:r>
    </w:p>
  </w:endnote>
  <w:endnote w:type="continuationSeparator" w:id="0">
    <w:p w14:paraId="3D9D6AEE" w14:textId="77777777" w:rsidR="00B92709" w:rsidRDefault="00B9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1693" w14:textId="77777777" w:rsidR="00744908" w:rsidRDefault="003B70F1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9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D5F5D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2117D" w14:textId="7EC4DEF6" w:rsidR="00744908" w:rsidRDefault="009E05BE">
    <w:pPr>
      <w:pStyle w:val="a3"/>
    </w:pPr>
    <w:r>
      <w:rPr>
        <w:noProof/>
        <w:lang w:val="en-US" w:eastAsia="en-US" w:bidi="he-IL"/>
      </w:rPr>
      <w:drawing>
        <wp:inline distT="0" distB="0" distL="0" distR="0" wp14:anchorId="117D64CC" wp14:editId="2D94784D">
          <wp:extent cx="1571625" cy="337820"/>
          <wp:effectExtent l="0" t="0" r="9525" b="5080"/>
          <wp:docPr id="25" name="Picture 1" descr="inovation and technology commission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6F9F">
      <w:tab/>
    </w:r>
    <w:r w:rsidR="00A36F9F">
      <w:tab/>
    </w:r>
    <w:r w:rsidR="005D2758">
      <w:rPr>
        <w:noProof/>
        <w:lang w:val="en-US" w:eastAsia="en-US" w:bidi="he-IL"/>
      </w:rPr>
      <w:drawing>
        <wp:inline distT="0" distB="0" distL="0" distR="0" wp14:anchorId="348E338B" wp14:editId="7093919A">
          <wp:extent cx="2284095" cy="914400"/>
          <wp:effectExtent l="0" t="0" r="0" b="0"/>
          <wp:docPr id="26" name="Picture 3" descr="Israel Innovation Author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C697" w14:textId="54B5A2E5" w:rsidR="00744908" w:rsidRPr="0071291E" w:rsidRDefault="00744908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5B74A" w14:textId="77777777" w:rsidR="00B92709" w:rsidRDefault="00B92709">
      <w:r>
        <w:separator/>
      </w:r>
    </w:p>
  </w:footnote>
  <w:footnote w:type="continuationSeparator" w:id="0">
    <w:p w14:paraId="4ACBF1B2" w14:textId="77777777" w:rsidR="00B92709" w:rsidRDefault="00B9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5A1AD" w14:textId="7B8DC947" w:rsidR="00744908" w:rsidRPr="00806A06" w:rsidRDefault="004D7ABE" w:rsidP="00806A06">
    <w:pPr>
      <w:pStyle w:val="a6"/>
      <w:jc w:val="center"/>
    </w:pPr>
    <w:r>
      <w:rPr>
        <w:noProof/>
        <w:lang w:val="en-US" w:eastAsia="en-US" w:bidi="he-IL"/>
      </w:rPr>
      <w:drawing>
        <wp:inline distT="0" distB="0" distL="0" distR="0" wp14:anchorId="27D11F9C" wp14:editId="5FAFEFC2">
          <wp:extent cx="3209925" cy="1114425"/>
          <wp:effectExtent l="0" t="0" r="0" b="0"/>
          <wp:docPr id="24" name="Picture 8" descr="logo-programme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9E2ED" w14:textId="77777777" w:rsidR="00744908" w:rsidRPr="00806A06" w:rsidRDefault="00744908" w:rsidP="00806A06">
    <w:pPr>
      <w:pStyle w:val="a6"/>
      <w:jc w:val="center"/>
    </w:pPr>
    <w:r>
      <w:rPr>
        <w:noProof/>
        <w:lang w:val="en-US" w:eastAsia="en-US" w:bidi="he-IL"/>
      </w:rPr>
      <w:drawing>
        <wp:inline distT="0" distB="0" distL="0" distR="0" wp14:anchorId="1A679929" wp14:editId="602A2D0A">
          <wp:extent cx="3324225" cy="930020"/>
          <wp:effectExtent l="0" t="0" r="0" b="0"/>
          <wp:docPr id="27" name="Picture 11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6F9F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1A58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709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a0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0" Type="http://schemas.openxmlformats.org/officeDocument/2006/relationships/hyperlink" Target="mailto:ess@itc.gov.h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tcfas.itf.gov.hk/itcfas/" TargetMode="External"/><Relationship Id="rId19" Type="http://schemas.openxmlformats.org/officeDocument/2006/relationships/hyperlink" Target="http://www.itc.gov.h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EAC5-8F5A-4444-A13E-3970C1D1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6607</Characters>
  <Application>Microsoft Office Word</Application>
  <DocSecurity>0</DocSecurity>
  <Lines>55</Lines>
  <Paragraphs>15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משתמש</cp:lastModifiedBy>
  <cp:revision>2</cp:revision>
  <cp:lastPrinted>2022-06-02T01:42:00Z</cp:lastPrinted>
  <dcterms:created xsi:type="dcterms:W3CDTF">2023-01-24T14:09:00Z</dcterms:created>
  <dcterms:modified xsi:type="dcterms:W3CDTF">2023-01-24T14:09:00Z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